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  <w:bookmarkStart w:id="0" w:name="_GoBack"/>
      <w:bookmarkEnd w:id="0"/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rPr>
          <w:sz w:val="18"/>
          <w:szCs w:val="18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FD3B86">
      <w:pPr>
        <w:pStyle w:val="Puesto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lang w:val="es-ES_tradnl"/>
        </w:rPr>
        <w:t>Programa de Capacitaci</w:t>
      </w:r>
      <w:r>
        <w:rPr>
          <w:rFonts w:hAnsi="Arial"/>
          <w:sz w:val="28"/>
          <w:szCs w:val="28"/>
          <w:lang w:val="es-ES_tradnl"/>
        </w:rPr>
        <w:t>ó</w:t>
      </w:r>
      <w:r>
        <w:rPr>
          <w:rFonts w:ascii="Arial"/>
          <w:sz w:val="28"/>
          <w:szCs w:val="28"/>
          <w:lang w:val="es-ES_tradnl"/>
        </w:rPr>
        <w:t xml:space="preserve">n </w:t>
      </w:r>
      <w:r w:rsidR="008A10ED">
        <w:rPr>
          <w:rFonts w:ascii="Arial"/>
          <w:sz w:val="28"/>
          <w:szCs w:val="28"/>
          <w:lang w:val="es-ES_tradnl"/>
        </w:rPr>
        <w:t>sobre Litigaci</w:t>
      </w:r>
      <w:r w:rsidR="008A10ED">
        <w:rPr>
          <w:rFonts w:ascii="Arial"/>
          <w:sz w:val="28"/>
          <w:szCs w:val="28"/>
          <w:lang w:val="es-ES_tradnl"/>
        </w:rPr>
        <w:t>ó</w:t>
      </w:r>
      <w:r w:rsidR="008A10ED">
        <w:rPr>
          <w:rFonts w:ascii="Arial"/>
          <w:sz w:val="28"/>
          <w:szCs w:val="28"/>
          <w:lang w:val="es-ES_tradnl"/>
        </w:rPr>
        <w:t xml:space="preserve">n </w:t>
      </w:r>
      <w:r w:rsidR="00586DDE">
        <w:rPr>
          <w:rFonts w:ascii="Arial"/>
          <w:sz w:val="28"/>
          <w:szCs w:val="28"/>
          <w:lang w:val="es-ES_tradnl"/>
        </w:rPr>
        <w:t xml:space="preserve"> Oral </w:t>
      </w:r>
      <w:r w:rsidR="008A10ED">
        <w:rPr>
          <w:rFonts w:ascii="Arial"/>
          <w:sz w:val="28"/>
          <w:szCs w:val="28"/>
          <w:lang w:val="es-ES_tradnl"/>
        </w:rPr>
        <w:t>en Cibercrimen</w:t>
      </w:r>
    </w:p>
    <w:p w:rsidR="008979DE" w:rsidRDefault="00FD3B86">
      <w:pPr>
        <w:pStyle w:val="Puesto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lang w:val="es-ES_tradnl"/>
        </w:rPr>
        <w:t xml:space="preserve">Unidos por la justicia </w:t>
      </w:r>
    </w:p>
    <w:p w:rsidR="008979DE" w:rsidRDefault="00FD3B86">
      <w:pPr>
        <w:pStyle w:val="Puesto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lang w:val="es-ES_tradnl"/>
        </w:rPr>
        <w:t>A</w:t>
      </w:r>
      <w:r>
        <w:rPr>
          <w:rFonts w:hAnsi="Arial"/>
          <w:sz w:val="28"/>
          <w:szCs w:val="28"/>
          <w:lang w:val="es-ES_tradnl"/>
        </w:rPr>
        <w:t>ñ</w:t>
      </w:r>
      <w:r>
        <w:rPr>
          <w:rFonts w:ascii="Arial"/>
          <w:sz w:val="28"/>
          <w:szCs w:val="28"/>
          <w:lang w:val="es-ES_tradnl"/>
        </w:rPr>
        <w:t>o 201</w:t>
      </w:r>
      <w:r w:rsidR="00974FE8">
        <w:rPr>
          <w:rFonts w:ascii="Arial"/>
          <w:sz w:val="28"/>
          <w:szCs w:val="28"/>
          <w:lang w:val="es-ES_tradnl"/>
        </w:rPr>
        <w:t>9</w:t>
      </w:r>
    </w:p>
    <w:p w:rsidR="008979DE" w:rsidRDefault="008979DE">
      <w:pPr>
        <w:jc w:val="right"/>
        <w:rPr>
          <w:i/>
          <w:iCs/>
          <w:sz w:val="28"/>
          <w:szCs w:val="28"/>
        </w:rPr>
      </w:pPr>
    </w:p>
    <w:p w:rsidR="00124197" w:rsidRDefault="00124197" w:rsidP="00124197">
      <w:pPr>
        <w:jc w:val="center"/>
        <w:rPr>
          <w:lang w:val="es-AR"/>
        </w:rPr>
      </w:pPr>
    </w:p>
    <w:p w:rsidR="00124197" w:rsidRDefault="00124197" w:rsidP="00124197">
      <w:pPr>
        <w:jc w:val="center"/>
        <w:rPr>
          <w:lang w:val="es-AR"/>
        </w:rPr>
      </w:pPr>
    </w:p>
    <w:p w:rsidR="00124197" w:rsidRPr="00ED6B89" w:rsidRDefault="00124197" w:rsidP="00124197">
      <w:pPr>
        <w:jc w:val="center"/>
        <w:rPr>
          <w:lang w:val="es-AR"/>
        </w:rPr>
      </w:pPr>
      <w:r>
        <w:rPr>
          <w:lang w:val="es-AR"/>
        </w:rPr>
        <w:t>Auspicio Centro de Estudios de Justicia de las Américas - CEJA</w:t>
      </w:r>
    </w:p>
    <w:p w:rsidR="00124197" w:rsidRPr="00ED6B89" w:rsidRDefault="00124197" w:rsidP="00124197">
      <w:pPr>
        <w:jc w:val="center"/>
        <w:rPr>
          <w:lang w:val="es-AR"/>
        </w:rPr>
      </w:pPr>
      <w:r>
        <w:rPr>
          <w:noProof/>
          <w:sz w:val="48"/>
          <w:szCs w:val="48"/>
          <w:lang w:val="es-AR" w:eastAsia="es-AR"/>
        </w:rPr>
        <w:drawing>
          <wp:inline distT="0" distB="0" distL="0" distR="0">
            <wp:extent cx="2657475" cy="1457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97" w:rsidRPr="00A37F27" w:rsidRDefault="00124197" w:rsidP="00124197">
      <w:pPr>
        <w:jc w:val="center"/>
        <w:rPr>
          <w:sz w:val="48"/>
          <w:szCs w:val="48"/>
          <w:lang w:val="es-AR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FD3B86">
      <w:pPr>
        <w:pStyle w:val="Ttulo1"/>
      </w:pPr>
      <w:r>
        <w:rPr>
          <w:sz w:val="18"/>
          <w:szCs w:val="18"/>
        </w:rPr>
        <w:br w:type="page"/>
      </w:r>
    </w:p>
    <w:p w:rsidR="008979DE" w:rsidRPr="00124197" w:rsidRDefault="00FD3B86" w:rsidP="0012419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 w:cs="Times New Roman"/>
          <w:b/>
          <w:bCs/>
          <w:color w:val="auto"/>
          <w:sz w:val="32"/>
          <w:szCs w:val="32"/>
          <w:bdr w:val="none" w:sz="0" w:space="0" w:color="auto"/>
          <w:lang w:val="es-AR" w:eastAsia="x-none" w:bidi="en-US"/>
        </w:rPr>
      </w:pPr>
      <w:r w:rsidRPr="00124197">
        <w:rPr>
          <w:rFonts w:ascii="Whitney Semibold" w:eastAsia="Times New Roman" w:hAnsi="Whitney Semibold" w:cs="Times New Roman"/>
          <w:b/>
          <w:bCs/>
          <w:color w:val="auto"/>
          <w:sz w:val="32"/>
          <w:szCs w:val="32"/>
          <w:bdr w:val="none" w:sz="0" w:space="0" w:color="auto"/>
          <w:lang w:val="es-AR" w:eastAsia="x-none" w:bidi="en-US"/>
        </w:rPr>
        <w:lastRenderedPageBreak/>
        <w:t xml:space="preserve">Programa de Capacitación </w:t>
      </w:r>
      <w:r w:rsidR="008A10ED">
        <w:rPr>
          <w:rFonts w:ascii="Whitney Semibold" w:eastAsia="Times New Roman" w:hAnsi="Whitney Semibold" w:cs="Times New Roman"/>
          <w:b/>
          <w:bCs/>
          <w:color w:val="auto"/>
          <w:sz w:val="32"/>
          <w:szCs w:val="32"/>
          <w:bdr w:val="none" w:sz="0" w:space="0" w:color="auto"/>
          <w:lang w:val="es-AR" w:eastAsia="x-none" w:bidi="en-US"/>
        </w:rPr>
        <w:t>sobre Litigación en Cibercrimen.</w:t>
      </w:r>
    </w:p>
    <w:p w:rsidR="008A10ED" w:rsidRPr="008A10ED" w:rsidRDefault="00FD3B86" w:rsidP="008A10ED">
      <w:r w:rsidRPr="00124197">
        <w:rPr>
          <w:rFonts w:ascii="Scala" w:eastAsia="Times New Roman" w:hAnsi="Scala" w:cs="Times New Roman"/>
          <w:b/>
          <w:color w:val="auto"/>
          <w:szCs w:val="20"/>
          <w:u w:val="single"/>
          <w:bdr w:val="none" w:sz="0" w:space="0" w:color="auto"/>
          <w:lang w:val="es-AR" w:bidi="en-US"/>
        </w:rPr>
        <w:t>Dirección:</w:t>
      </w:r>
      <w:r w:rsidR="008A10ED">
        <w:rPr>
          <w:rFonts w:eastAsia="Arial Unicode MS" w:hAnsi="Arial Unicode MS" w:cs="Arial Unicode MS"/>
        </w:rPr>
        <w:t xml:space="preserve"> </w:t>
      </w:r>
      <w:r w:rsidR="008A10ED" w:rsidRPr="008A10ED">
        <w:rPr>
          <w:rFonts w:eastAsia="Arial Unicode MS"/>
        </w:rPr>
        <w:t xml:space="preserve">Daniela Dupuy. </w:t>
      </w:r>
      <w:r w:rsidR="008A10ED" w:rsidRPr="008A10ED">
        <w:rPr>
          <w:lang w:val="es-ES"/>
        </w:rPr>
        <w:t>Fiscal a cargo del Equipo de Delitos Informáticos de la Ciudad Autónoma de Bs</w:t>
      </w:r>
      <w:r w:rsidR="008E172D">
        <w:rPr>
          <w:lang w:val="es-ES"/>
        </w:rPr>
        <w:t xml:space="preserve"> </w:t>
      </w:r>
      <w:r w:rsidR="008A10ED" w:rsidRPr="008A10ED">
        <w:rPr>
          <w:lang w:val="es-ES"/>
        </w:rPr>
        <w:t>.As</w:t>
      </w:r>
      <w:r w:rsidR="008E172D">
        <w:rPr>
          <w:lang w:val="es-ES"/>
        </w:rPr>
        <w:t xml:space="preserve">., </w:t>
      </w:r>
      <w:r w:rsidR="008A10ED" w:rsidRPr="008A10ED">
        <w:rPr>
          <w:lang w:val="es-ES"/>
        </w:rPr>
        <w:t>Argentina.</w:t>
      </w:r>
    </w:p>
    <w:p w:rsidR="008A10ED" w:rsidRPr="008A10ED" w:rsidRDefault="008A10ED">
      <w:pPr>
        <w:rPr>
          <w:lang w:val="es-ES"/>
        </w:rPr>
      </w:pPr>
      <w:r w:rsidRPr="008A10ED">
        <w:rPr>
          <w:lang w:val="es-ES"/>
        </w:rPr>
        <w:t>Capacitadora en Técnicas y Destrezas de Oralidad</w:t>
      </w:r>
      <w:r>
        <w:rPr>
          <w:lang w:val="es-ES"/>
        </w:rPr>
        <w:t>.</w:t>
      </w:r>
    </w:p>
    <w:p w:rsidR="008979DE" w:rsidRDefault="00FD3B86">
      <w:r w:rsidRPr="00124197">
        <w:rPr>
          <w:rFonts w:ascii="Scala" w:eastAsia="Times New Roman" w:hAnsi="Scala" w:cs="Times New Roman"/>
          <w:b/>
          <w:color w:val="auto"/>
          <w:szCs w:val="20"/>
          <w:u w:val="single"/>
          <w:bdr w:val="none" w:sz="0" w:space="0" w:color="auto"/>
          <w:lang w:val="es-AR" w:bidi="en-US"/>
        </w:rPr>
        <w:t>Fecha:</w:t>
      </w:r>
      <w:r w:rsidR="00974FE8">
        <w:rPr>
          <w:rFonts w:eastAsia="Arial Unicode MS" w:hAnsi="Arial Unicode MS" w:cs="Arial Unicode MS"/>
        </w:rPr>
        <w:t xml:space="preserve"> </w:t>
      </w:r>
      <w:r w:rsidR="008A10ED">
        <w:rPr>
          <w:rFonts w:eastAsia="Arial Unicode MS" w:hAnsi="Arial Unicode MS" w:cs="Arial Unicode MS"/>
        </w:rPr>
        <w:t>24 al 27 de junio.</w:t>
      </w:r>
    </w:p>
    <w:p w:rsidR="008979DE" w:rsidRPr="008A10ED" w:rsidRDefault="00124197">
      <w:pPr>
        <w:rPr>
          <w:rFonts w:eastAsia="Arial Unicode MS" w:hAnsi="Arial Unicode MS" w:cs="Arial Unicode MS"/>
        </w:rPr>
      </w:pPr>
      <w:r w:rsidRPr="00124197">
        <w:rPr>
          <w:rFonts w:ascii="Scala" w:eastAsia="Times New Roman" w:hAnsi="Scala" w:cs="Times New Roman"/>
          <w:b/>
          <w:color w:val="auto"/>
          <w:szCs w:val="20"/>
          <w:u w:val="single"/>
          <w:bdr w:val="none" w:sz="0" w:space="0" w:color="auto"/>
          <w:lang w:val="es-AR" w:bidi="en-US"/>
        </w:rPr>
        <w:t>Duración:</w:t>
      </w:r>
      <w:r>
        <w:rPr>
          <w:rFonts w:eastAsia="Arial Unicode MS" w:hAnsi="Arial Unicode MS" w:cs="Arial Unicode MS"/>
        </w:rPr>
        <w:t xml:space="preserve"> </w:t>
      </w:r>
      <w:r w:rsidR="008A10ED">
        <w:rPr>
          <w:rFonts w:eastAsia="Arial Unicode MS" w:hAnsi="Arial Unicode MS" w:cs="Arial Unicode MS"/>
        </w:rPr>
        <w:t xml:space="preserve">18 </w:t>
      </w:r>
      <w:r w:rsidR="008E172D">
        <w:rPr>
          <w:rFonts w:eastAsia="Arial Unicode MS" w:hAnsi="Arial Unicode MS" w:cs="Arial Unicode MS"/>
        </w:rPr>
        <w:t>horas.</w:t>
      </w:r>
    </w:p>
    <w:p w:rsidR="008979DE" w:rsidRPr="002B7F2F" w:rsidRDefault="00FD3B86">
      <w:pPr>
        <w:pStyle w:val="Ttulo2"/>
        <w:rPr>
          <w:b/>
          <w:sz w:val="28"/>
          <w:szCs w:val="28"/>
        </w:rPr>
      </w:pPr>
      <w:r w:rsidRPr="002B7F2F">
        <w:rPr>
          <w:b/>
          <w:sz w:val="28"/>
          <w:szCs w:val="28"/>
        </w:rPr>
        <w:t>Objetivo del programa</w:t>
      </w:r>
    </w:p>
    <w:p w:rsidR="008A10ED" w:rsidRPr="008A10ED" w:rsidRDefault="008A10ED" w:rsidP="008A10ED">
      <w:pPr>
        <w:rPr>
          <w:szCs w:val="28"/>
          <w:lang w:val="es-ES"/>
        </w:rPr>
      </w:pPr>
      <w:r w:rsidRPr="008A10ED">
        <w:rPr>
          <w:szCs w:val="28"/>
          <w:lang w:val="es-ES"/>
        </w:rPr>
        <w:t>Conocer las destrezas necesarias para litigar en audiencias y juicios relacionadas con investigaciones en entornos digitales</w:t>
      </w:r>
    </w:p>
    <w:p w:rsidR="008A10ED" w:rsidRPr="008A10ED" w:rsidRDefault="008A10ED" w:rsidP="008A10ED">
      <w:pPr>
        <w:rPr>
          <w:szCs w:val="28"/>
          <w:lang w:val="es-ES"/>
        </w:rPr>
      </w:pPr>
      <w:r w:rsidRPr="008A10ED">
        <w:rPr>
          <w:szCs w:val="28"/>
          <w:lang w:val="es-ES"/>
        </w:rPr>
        <w:t>Conocimiento de la problemática probatoria en cibercriminalidad</w:t>
      </w:r>
      <w:r w:rsidR="008E172D">
        <w:rPr>
          <w:szCs w:val="28"/>
          <w:lang w:val="es-ES"/>
        </w:rPr>
        <w:t>.</w:t>
      </w:r>
    </w:p>
    <w:p w:rsidR="008A10ED" w:rsidRPr="008A10ED" w:rsidRDefault="008A10ED" w:rsidP="008A10ED">
      <w:pPr>
        <w:rPr>
          <w:szCs w:val="28"/>
          <w:lang w:val="es-ES"/>
        </w:rPr>
      </w:pPr>
      <w:r w:rsidRPr="008A10ED">
        <w:rPr>
          <w:szCs w:val="28"/>
          <w:lang w:val="es-ES"/>
        </w:rPr>
        <w:t>Desarrollar los conocimientos sobre los diferentes roles que los actores deben cumplir en las audiencias orales, en el marco de un sistema oral y adversarial</w:t>
      </w:r>
      <w:r w:rsidR="008E172D">
        <w:rPr>
          <w:szCs w:val="28"/>
          <w:lang w:val="es-ES"/>
        </w:rPr>
        <w:t>.</w:t>
      </w:r>
    </w:p>
    <w:p w:rsidR="008A10ED" w:rsidRPr="008A10ED" w:rsidRDefault="008A10ED" w:rsidP="008A10ED">
      <w:pPr>
        <w:rPr>
          <w:szCs w:val="28"/>
          <w:lang w:val="es-ES"/>
        </w:rPr>
      </w:pPr>
      <w:r w:rsidRPr="008A10ED">
        <w:rPr>
          <w:szCs w:val="28"/>
          <w:lang w:val="es-ES"/>
        </w:rPr>
        <w:t>Transmitir los conocimientos teóricos a situaciones prácticas y conflictos hipotéticos, ejercitando las técnicas y destrezas impartidas.</w:t>
      </w:r>
    </w:p>
    <w:p w:rsidR="008979DE" w:rsidRPr="002B7F2F" w:rsidRDefault="00FD3B86">
      <w:pPr>
        <w:pStyle w:val="Ttulo2"/>
        <w:rPr>
          <w:b/>
          <w:sz w:val="28"/>
          <w:szCs w:val="28"/>
        </w:rPr>
      </w:pPr>
      <w:r w:rsidRPr="002B7F2F">
        <w:rPr>
          <w:b/>
          <w:sz w:val="28"/>
          <w:szCs w:val="28"/>
        </w:rPr>
        <w:t>Metodolog</w:t>
      </w:r>
      <w:r w:rsidRPr="002B7F2F">
        <w:rPr>
          <w:rFonts w:ascii="Arial Unicode MS" w:hAnsi="Arial Bold"/>
          <w:b/>
          <w:sz w:val="28"/>
          <w:szCs w:val="28"/>
        </w:rPr>
        <w:t>í</w:t>
      </w:r>
      <w:r w:rsidRPr="002B7F2F">
        <w:rPr>
          <w:b/>
          <w:sz w:val="28"/>
          <w:szCs w:val="28"/>
        </w:rPr>
        <w:t>a de la ense</w:t>
      </w:r>
      <w:r w:rsidRPr="002B7F2F">
        <w:rPr>
          <w:rFonts w:ascii="Arial Unicode MS" w:hAnsi="Arial Bold"/>
          <w:b/>
          <w:sz w:val="28"/>
          <w:szCs w:val="28"/>
        </w:rPr>
        <w:t>ñ</w:t>
      </w:r>
      <w:r w:rsidRPr="002B7F2F">
        <w:rPr>
          <w:b/>
          <w:sz w:val="28"/>
          <w:szCs w:val="28"/>
        </w:rPr>
        <w:t>anza</w:t>
      </w:r>
    </w:p>
    <w:p w:rsidR="008A10ED" w:rsidRDefault="008A10ED">
      <w:pPr>
        <w:widowControl w:val="0"/>
        <w:outlineLvl w:val="0"/>
      </w:pPr>
    </w:p>
    <w:p w:rsidR="008979DE" w:rsidRDefault="00FD3B86">
      <w:pPr>
        <w:widowControl w:val="0"/>
        <w:outlineLvl w:val="0"/>
      </w:pPr>
      <w:r>
        <w:t xml:space="preserve">El Programa </w:t>
      </w:r>
      <w:r w:rsidR="008A10ED">
        <w:t>se realizara me</w:t>
      </w:r>
      <w:r w:rsidR="008E172D">
        <w:t>diante la realización de clases:</w:t>
      </w:r>
    </w:p>
    <w:p w:rsidR="008E172D" w:rsidRDefault="008E172D" w:rsidP="008A10ED">
      <w:pPr>
        <w:pStyle w:val="Prrafodelista"/>
        <w:numPr>
          <w:ilvl w:val="0"/>
          <w:numId w:val="20"/>
        </w:numPr>
        <w:rPr>
          <w:lang w:val="es-ES"/>
        </w:rPr>
      </w:pPr>
      <w:r w:rsidRPr="008E172D">
        <w:rPr>
          <w:lang w:val="es-ES"/>
        </w:rPr>
        <w:t xml:space="preserve"> T</w:t>
      </w:r>
      <w:r w:rsidR="008A10ED" w:rsidRPr="008E172D">
        <w:rPr>
          <w:lang w:val="es-ES"/>
        </w:rPr>
        <w:t>eóricas: Destinadas a la incorporación de conceptos teóricos que resultan necesarios para adquirir las destrezas en litigación en Cibercrimen</w:t>
      </w:r>
    </w:p>
    <w:p w:rsidR="008A10ED" w:rsidRPr="008E172D" w:rsidRDefault="008E172D" w:rsidP="008A10ED">
      <w:pPr>
        <w:pStyle w:val="Prrafodelista"/>
        <w:numPr>
          <w:ilvl w:val="0"/>
          <w:numId w:val="20"/>
        </w:numPr>
        <w:rPr>
          <w:lang w:val="es-ES"/>
        </w:rPr>
      </w:pPr>
      <w:r>
        <w:rPr>
          <w:lang w:val="es-ES"/>
        </w:rPr>
        <w:t xml:space="preserve"> P</w:t>
      </w:r>
      <w:r w:rsidR="008A10ED" w:rsidRPr="008E172D">
        <w:rPr>
          <w:lang w:val="es-ES"/>
        </w:rPr>
        <w:t>rácticas: destinadas a la ejercitación y simulacro de audiencias y juicio, entrenando cada uno de los diferentes roles a cumplir: juez-fiscal-defensor.</w:t>
      </w:r>
    </w:p>
    <w:p w:rsidR="008979DE" w:rsidRPr="002B7F2F" w:rsidRDefault="00FD3B86" w:rsidP="00740370">
      <w:pPr>
        <w:pStyle w:val="Ttulo2"/>
        <w:rPr>
          <w:b/>
          <w:sz w:val="28"/>
          <w:szCs w:val="28"/>
        </w:rPr>
      </w:pPr>
      <w:r w:rsidRPr="002B7F2F">
        <w:rPr>
          <w:b/>
          <w:sz w:val="28"/>
          <w:szCs w:val="28"/>
        </w:rPr>
        <w:t>Materiales y soporte electr</w:t>
      </w:r>
      <w:r w:rsidRPr="002B7F2F">
        <w:rPr>
          <w:rFonts w:ascii="Arial Unicode MS" w:hAnsi="Arial Bold"/>
          <w:b/>
          <w:sz w:val="28"/>
          <w:szCs w:val="28"/>
        </w:rPr>
        <w:t>ó</w:t>
      </w:r>
      <w:r w:rsidRPr="002B7F2F">
        <w:rPr>
          <w:b/>
          <w:sz w:val="28"/>
          <w:szCs w:val="28"/>
        </w:rPr>
        <w:t xml:space="preserve">nico </w:t>
      </w:r>
    </w:p>
    <w:p w:rsidR="008979DE" w:rsidRDefault="0029080E" w:rsidP="00740370">
      <w:pPr>
        <w:widowControl w:val="0"/>
        <w:outlineLvl w:val="0"/>
      </w:pPr>
      <w:r w:rsidRPr="0029080E">
        <w:t xml:space="preserve">Se repartirá a cada participante una Carpeta con material para trabajar en clase y soporte digital adicional con bibliografía, presentaciones e información institucional. </w:t>
      </w:r>
      <w:r w:rsidR="00FD3B86">
        <w:t xml:space="preserve"> </w:t>
      </w:r>
    </w:p>
    <w:p w:rsidR="008979DE" w:rsidRPr="002B7F2F" w:rsidRDefault="00FD3B86" w:rsidP="00740370">
      <w:pPr>
        <w:pStyle w:val="Ttulo2"/>
        <w:rPr>
          <w:b/>
          <w:sz w:val="28"/>
          <w:szCs w:val="28"/>
        </w:rPr>
      </w:pPr>
      <w:r w:rsidRPr="002B7F2F">
        <w:rPr>
          <w:b/>
          <w:sz w:val="28"/>
          <w:szCs w:val="28"/>
        </w:rPr>
        <w:t>Programa</w:t>
      </w:r>
    </w:p>
    <w:p w:rsidR="008A10ED" w:rsidRDefault="00FD3B86" w:rsidP="00740370">
      <w:pPr>
        <w:widowControl w:val="0"/>
        <w:outlineLvl w:val="0"/>
      </w:pPr>
      <w:r>
        <w:t>El curso se llevará a cabo e</w:t>
      </w:r>
      <w:r w:rsidR="008E172D">
        <w:t xml:space="preserve">n jornadas de aproximadamente 4  a 5 </w:t>
      </w:r>
      <w:r>
        <w:t>hor</w:t>
      </w:r>
      <w:r w:rsidR="008A10ED">
        <w:t xml:space="preserve">as académicas </w:t>
      </w:r>
      <w:r w:rsidR="008A10ED">
        <w:lastRenderedPageBreak/>
        <w:t>por día, durante 4</w:t>
      </w:r>
      <w:r>
        <w:t xml:space="preserve"> días.  La duración total del Programa en </w:t>
      </w:r>
      <w:r w:rsidR="008E172D">
        <w:t>Litigación en Cibercrimen,</w:t>
      </w:r>
      <w:r>
        <w:t xml:space="preserve"> es de </w:t>
      </w:r>
      <w:r w:rsidR="008A10ED">
        <w:t xml:space="preserve">18 </w:t>
      </w:r>
      <w:r>
        <w:t xml:space="preserve">horas.  </w:t>
      </w:r>
    </w:p>
    <w:p w:rsidR="008979DE" w:rsidRDefault="00FD3B86" w:rsidP="00740370">
      <w:pPr>
        <w:widowControl w:val="0"/>
        <w:outlineLvl w:val="0"/>
      </w:pPr>
      <w:r>
        <w:t>Los contenidos académicos se distribuyen de la siguiente manera:</w:t>
      </w:r>
    </w:p>
    <w:p w:rsidR="008A10ED" w:rsidRPr="001802FF" w:rsidRDefault="008A10ED" w:rsidP="008A10ED">
      <w:pPr>
        <w:rPr>
          <w:b/>
          <w:lang w:val="es-ES"/>
        </w:rPr>
      </w:pPr>
      <w:r w:rsidRPr="001802FF">
        <w:rPr>
          <w:b/>
          <w:lang w:val="es-ES"/>
        </w:rPr>
        <w:t>Modulo I: Introducción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 xml:space="preserve"> Presentación y organización del curso.</w:t>
      </w:r>
      <w:r w:rsidRPr="001802FF">
        <w:rPr>
          <w:b/>
          <w:lang w:val="es-ES"/>
        </w:rPr>
        <w:t xml:space="preserve"> </w:t>
      </w:r>
      <w:r w:rsidRPr="001802FF">
        <w:rPr>
          <w:lang w:val="es-ES"/>
        </w:rPr>
        <w:t>Los sistemas acusatorios y adversariales. El cambio de paradigma. La presentación del caso producido en entornos digitales en audiencia</w:t>
      </w:r>
      <w:r w:rsidRPr="001802FF">
        <w:rPr>
          <w:b/>
          <w:lang w:val="es-ES"/>
        </w:rPr>
        <w:t xml:space="preserve"> </w:t>
      </w:r>
      <w:r w:rsidRPr="001802FF">
        <w:rPr>
          <w:lang w:val="es-ES"/>
        </w:rPr>
        <w:t xml:space="preserve">oral. Las diferencias con el sistema escrito. </w:t>
      </w:r>
    </w:p>
    <w:p w:rsidR="008A10ED" w:rsidRPr="001802FF" w:rsidRDefault="008A10ED" w:rsidP="008A10ED">
      <w:pPr>
        <w:rPr>
          <w:b/>
          <w:lang w:val="es-ES"/>
        </w:rPr>
      </w:pPr>
      <w:r w:rsidRPr="001802FF">
        <w:rPr>
          <w:b/>
          <w:lang w:val="es-ES"/>
        </w:rPr>
        <w:t>Módulo II: Investigar un caso cometido en entornos digitales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Dinámica en la investigación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Coordinación y comunicación con las fuerzas de seguridad y las áreas especializadas en Cibercrimen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Protocolos de actuación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Cadena de custodia: Identificación, preservación, incautación y transporte de la evidencia digital. Inalterabilidad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Herramientas utilizadas para preservar y analizar la evidencia digital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Relación con el sector privado</w:t>
      </w:r>
      <w:r w:rsidR="008E172D">
        <w:rPr>
          <w:lang w:val="es-ES"/>
        </w:rPr>
        <w:t>.</w:t>
      </w:r>
    </w:p>
    <w:p w:rsidR="008A10ED" w:rsidRPr="008A10ED" w:rsidRDefault="008A10ED" w:rsidP="008A10ED">
      <w:pPr>
        <w:rPr>
          <w:lang w:val="es-ES"/>
        </w:rPr>
      </w:pPr>
      <w:r w:rsidRPr="001802FF">
        <w:rPr>
          <w:lang w:val="es-ES"/>
        </w:rPr>
        <w:t>Cooperación Internacional</w:t>
      </w:r>
      <w:r w:rsidR="008E172D">
        <w:rPr>
          <w:lang w:val="es-ES"/>
        </w:rPr>
        <w:t>.</w:t>
      </w:r>
    </w:p>
    <w:p w:rsidR="008A10ED" w:rsidRPr="008A10ED" w:rsidRDefault="008A10ED" w:rsidP="008A10ED">
      <w:pPr>
        <w:rPr>
          <w:b/>
          <w:lang w:val="es-ES"/>
        </w:rPr>
      </w:pPr>
      <w:r w:rsidRPr="008A10ED">
        <w:rPr>
          <w:b/>
          <w:lang w:val="es-ES"/>
        </w:rPr>
        <w:t>Módulo III: Litigación de casos con evidencia digital en Audiencias previas al juicio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Litigación en audiencias previas a la realización del juicio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La audiencia como metodología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La importancia de la teoría del caso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Análisis, decisión y preparación del caso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 xml:space="preserve">El caso como estrategia. 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Preparación de la audiencia: debilidades y fortalezas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Formas de argumentación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lastRenderedPageBreak/>
        <w:t>Audiencia de medidas cautelares: dinámica. Preparación. Condiciones a tener en cuenta. Producción de prueba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Audiencia de Suspensión de juicio a prueba: Dinámica. Procedencia del acuerdo y pertinencia de las condiciones y plazos. El rol de los actores. Oposición de la contraparte. Fundamento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Audiencia de nulidad y atipicidad: Planteos de la defensa. Causales. Motivos y fundamentación.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Audiencia de admisibilidad de prueba: cómo presentarla. Su admisibilidad. Oposición a prueba impertinente. Admisibilidad de prueba al solo y único efecto de refrescar la memoria y/o establecer contradicciones. El control de admisibilidad de la evidencia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La forma de presentación de la evidencia. Su orden o secuencia.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Prueba irreproducible. Acuerdos probatorios.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Análisis de jurisprudencia</w:t>
      </w:r>
      <w:r w:rsidR="008E172D">
        <w:rPr>
          <w:lang w:val="es-ES"/>
        </w:rPr>
        <w:t>.</w:t>
      </w:r>
    </w:p>
    <w:p w:rsidR="008A10ED" w:rsidRPr="001802FF" w:rsidRDefault="008E172D" w:rsidP="008A10ED">
      <w:pPr>
        <w:rPr>
          <w:lang w:val="es-ES"/>
        </w:rPr>
      </w:pPr>
      <w:r>
        <w:rPr>
          <w:lang w:val="es-ES"/>
        </w:rPr>
        <w:t>Simulación de audiencias.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b/>
          <w:lang w:val="es-ES"/>
        </w:rPr>
        <w:t>Módulo IV: Teoría del caso. Hipótesis de investigació</w:t>
      </w:r>
      <w:r w:rsidRPr="001802FF">
        <w:rPr>
          <w:lang w:val="es-ES"/>
        </w:rPr>
        <w:t>n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El juicio como cuestión estratégica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Elaboración de la teoría del caso. Características.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Teoría del caso de la defensa. Elaboración. Estrategia de la defensa.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Determinación de la teoría jurídica aplicable. Elaboración de las proposiciones fácticas.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Selec</w:t>
      </w:r>
      <w:r w:rsidR="008E172D">
        <w:rPr>
          <w:lang w:val="es-ES"/>
        </w:rPr>
        <w:t xml:space="preserve">ción de la evidencia a utilizar, </w:t>
      </w:r>
      <w:r w:rsidRPr="001802FF">
        <w:rPr>
          <w:lang w:val="es-ES"/>
        </w:rPr>
        <w:t>en orden al testi</w:t>
      </w:r>
      <w:r w:rsidR="008E172D">
        <w:rPr>
          <w:lang w:val="es-ES"/>
        </w:rPr>
        <w:t>monio de los testigos que se planea introducir</w:t>
      </w:r>
      <w:r w:rsidRPr="001802FF">
        <w:rPr>
          <w:lang w:val="es-ES"/>
        </w:rPr>
        <w:t xml:space="preserve"> en el juicio.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El alegato de apertura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b/>
          <w:lang w:val="es-ES"/>
        </w:rPr>
      </w:pPr>
      <w:r w:rsidRPr="001802FF">
        <w:rPr>
          <w:b/>
          <w:lang w:val="es-ES"/>
        </w:rPr>
        <w:t xml:space="preserve">Módulo V: Examen y </w:t>
      </w:r>
      <w:r w:rsidR="008E172D">
        <w:rPr>
          <w:b/>
          <w:lang w:val="es-ES"/>
        </w:rPr>
        <w:t>contra</w:t>
      </w:r>
      <w:r w:rsidR="008E172D" w:rsidRPr="001802FF">
        <w:rPr>
          <w:b/>
          <w:lang w:val="es-ES"/>
        </w:rPr>
        <w:t>examen</w:t>
      </w:r>
      <w:r w:rsidRPr="001802FF">
        <w:rPr>
          <w:b/>
          <w:lang w:val="es-ES"/>
        </w:rPr>
        <w:t xml:space="preserve"> de testigos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Planificación del examen directo: Estructura de un examen directo. La relación entre los testigos y nuestra teoría del caso. Clasificación de los testigos. Orden. Tipos de exámenes. La preparación de los testigos. Tips</w:t>
      </w:r>
      <w:r w:rsidR="008E172D"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Planificación del contraexamen: Cómo preguntar. Técnicas. Clases de contra interrogatorio. Líneas. Desacreditar al testigo. Desacreditar el testimonio.</w:t>
      </w:r>
    </w:p>
    <w:p w:rsidR="008A10ED" w:rsidRPr="008E172D" w:rsidRDefault="008A10ED" w:rsidP="008A10ED">
      <w:pPr>
        <w:rPr>
          <w:lang w:val="es-ES"/>
        </w:rPr>
      </w:pPr>
      <w:r w:rsidRPr="001802FF">
        <w:rPr>
          <w:lang w:val="es-ES"/>
        </w:rPr>
        <w:lastRenderedPageBreak/>
        <w:t>Psicología del testimonio.</w:t>
      </w:r>
    </w:p>
    <w:p w:rsidR="008A10ED" w:rsidRPr="008A10ED" w:rsidRDefault="008A10ED" w:rsidP="008A10ED">
      <w:pPr>
        <w:rPr>
          <w:b/>
          <w:lang w:val="es-ES"/>
        </w:rPr>
      </w:pPr>
      <w:r w:rsidRPr="008A10ED">
        <w:rPr>
          <w:b/>
          <w:lang w:val="es-ES"/>
        </w:rPr>
        <w:t xml:space="preserve">Módulo VI: Examen y </w:t>
      </w:r>
      <w:r w:rsidR="008E172D">
        <w:rPr>
          <w:b/>
          <w:lang w:val="es-ES"/>
        </w:rPr>
        <w:t>contra</w:t>
      </w:r>
      <w:r w:rsidR="008E172D" w:rsidRPr="008A10ED">
        <w:rPr>
          <w:b/>
          <w:lang w:val="es-ES"/>
        </w:rPr>
        <w:t>examen</w:t>
      </w:r>
      <w:r w:rsidRPr="008A10ED">
        <w:rPr>
          <w:b/>
          <w:lang w:val="es-ES"/>
        </w:rPr>
        <w:t xml:space="preserve"> de peritos informáticos y testigos expertos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 xml:space="preserve">Noción de perito y su trabajo en los sistemas acusatorios. Quienes son y cuál es el objeto de las pericias. Idoneidad del perito. 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 xml:space="preserve">Presentación y </w:t>
      </w:r>
      <w:r w:rsidR="008E172D" w:rsidRPr="001802FF">
        <w:rPr>
          <w:lang w:val="es-ES"/>
        </w:rPr>
        <w:t>examen</w:t>
      </w:r>
      <w:r w:rsidRPr="001802FF">
        <w:rPr>
          <w:lang w:val="es-ES"/>
        </w:rPr>
        <w:t xml:space="preserve"> directo de peritos. Selección y acreditación del experto. La organización del relato. Atención con el uso de lenguaje técnico. La utilización de declaraciones previas para refrescar la memoria. Costos</w:t>
      </w:r>
      <w:r w:rsidR="008E172D">
        <w:rPr>
          <w:lang w:val="es-ES"/>
        </w:rPr>
        <w:t>.</w:t>
      </w:r>
    </w:p>
    <w:p w:rsidR="008A10ED" w:rsidRPr="001802FF" w:rsidRDefault="008E172D" w:rsidP="008A10ED">
      <w:pPr>
        <w:rPr>
          <w:lang w:val="es-ES"/>
        </w:rPr>
      </w:pPr>
      <w:r>
        <w:rPr>
          <w:lang w:val="es-ES"/>
        </w:rPr>
        <w:t>Contraexamen: D</w:t>
      </w:r>
      <w:r w:rsidR="008A10ED" w:rsidRPr="001802FF">
        <w:rPr>
          <w:lang w:val="es-ES"/>
        </w:rPr>
        <w:t>esacreditación del perito. Desacreditación de sus dichos. Desacreditación de la metodología utilizada. La utilización de declaraciones previas para establecer contradicciones.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 xml:space="preserve">El uso del informe técnico informático. 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lang w:val="es-ES"/>
        </w:rPr>
        <w:t>Los peritos en el juicio oral: Aspectos legales y estratégicos para litigar.</w:t>
      </w:r>
    </w:p>
    <w:p w:rsidR="008A10ED" w:rsidRPr="008A10ED" w:rsidRDefault="008A10ED" w:rsidP="008A10ED">
      <w:pPr>
        <w:rPr>
          <w:lang w:val="es-ES"/>
        </w:rPr>
      </w:pPr>
      <w:r w:rsidRPr="001802FF">
        <w:rPr>
          <w:lang w:val="es-ES"/>
        </w:rPr>
        <w:t>La prueba pericial en el juicio oral</w:t>
      </w:r>
      <w:r>
        <w:rPr>
          <w:lang w:val="es-ES"/>
        </w:rPr>
        <w:t>.</w:t>
      </w:r>
    </w:p>
    <w:p w:rsidR="008A10ED" w:rsidRPr="001802FF" w:rsidRDefault="008A10ED" w:rsidP="008A10ED">
      <w:pPr>
        <w:rPr>
          <w:lang w:val="es-ES"/>
        </w:rPr>
      </w:pPr>
      <w:r w:rsidRPr="001802FF">
        <w:rPr>
          <w:b/>
          <w:lang w:val="es-ES"/>
        </w:rPr>
        <w:t>Módulo VII: Alegatos finales</w:t>
      </w:r>
    </w:p>
    <w:p w:rsidR="008A10ED" w:rsidRPr="008E172D" w:rsidRDefault="008A10ED" w:rsidP="008A10ED">
      <w:pPr>
        <w:rPr>
          <w:lang w:val="es-ES"/>
        </w:rPr>
      </w:pPr>
      <w:r w:rsidRPr="001802FF">
        <w:rPr>
          <w:lang w:val="es-ES"/>
        </w:rPr>
        <w:t>Organización. Estructuración. Relación de la prueba</w:t>
      </w:r>
      <w:r w:rsidR="008E172D">
        <w:rPr>
          <w:lang w:val="es-ES"/>
        </w:rPr>
        <w:t>.</w:t>
      </w:r>
    </w:p>
    <w:p w:rsidR="008E172D" w:rsidRDefault="008A10ED" w:rsidP="008A10ED">
      <w:pPr>
        <w:rPr>
          <w:lang w:val="es-ES"/>
        </w:rPr>
      </w:pPr>
      <w:r w:rsidRPr="001802FF">
        <w:rPr>
          <w:b/>
          <w:lang w:val="es-ES"/>
        </w:rPr>
        <w:t xml:space="preserve"> Módulo VIII</w:t>
      </w:r>
      <w:r w:rsidRPr="001802FF">
        <w:rPr>
          <w:lang w:val="es-ES"/>
        </w:rPr>
        <w:t xml:space="preserve">: </w:t>
      </w:r>
    </w:p>
    <w:p w:rsidR="00A9568E" w:rsidRPr="008E172D" w:rsidRDefault="008A10ED" w:rsidP="00FA2785">
      <w:pPr>
        <w:rPr>
          <w:lang w:val="es-ES"/>
        </w:rPr>
      </w:pPr>
      <w:r w:rsidRPr="001802FF">
        <w:rPr>
          <w:lang w:val="es-ES"/>
        </w:rPr>
        <w:t>Simulación de audiencias preliminares  y juicio final. Casos reales de pornografía infantil y grooming y ataque de denegación de servicio.</w:t>
      </w:r>
    </w:p>
    <w:p w:rsidR="008979DE" w:rsidRPr="002B7F2F" w:rsidRDefault="00FD3B86" w:rsidP="00FA2785">
      <w:pPr>
        <w:pStyle w:val="Ttulo2"/>
        <w:rPr>
          <w:b/>
          <w:sz w:val="28"/>
          <w:szCs w:val="28"/>
        </w:rPr>
      </w:pPr>
      <w:r w:rsidRPr="002B7F2F">
        <w:rPr>
          <w:b/>
          <w:sz w:val="28"/>
          <w:szCs w:val="28"/>
        </w:rPr>
        <w:t>Lugar, d</w:t>
      </w:r>
      <w:r w:rsidRPr="002B7F2F">
        <w:rPr>
          <w:rFonts w:ascii="Arial Unicode MS" w:hAnsi="Arial Bold"/>
          <w:b/>
          <w:sz w:val="28"/>
          <w:szCs w:val="28"/>
        </w:rPr>
        <w:t>í</w:t>
      </w:r>
      <w:r w:rsidRPr="002B7F2F">
        <w:rPr>
          <w:b/>
          <w:sz w:val="28"/>
          <w:szCs w:val="28"/>
        </w:rPr>
        <w:t>as y horarios</w:t>
      </w:r>
    </w:p>
    <w:p w:rsidR="008979DE" w:rsidRDefault="00FD3B86" w:rsidP="00FA2785">
      <w:r>
        <w:rPr>
          <w:rFonts w:eastAsia="Arial Unicode MS" w:hAnsi="Arial Unicode MS" w:cs="Arial Unicode MS"/>
        </w:rPr>
        <w:t>Las clases se dictan en el Sal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n de la Junta Federal de Cortes y Superiores Tribunales de Justicia de las Provincias Argentinas y Ciudad Aut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 xml:space="preserve">noma de Buenos Aires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JUFEJUS -, sito en Leandro N. Alem 1074, 2</w:t>
      </w:r>
      <w:r>
        <w:rPr>
          <w:rFonts w:ascii="Arial Unicode MS" w:eastAsia="Arial Unicode MS" w:cs="Arial Unicode MS"/>
        </w:rPr>
        <w:t>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piso, Ciudad Aut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 xml:space="preserve">noma Buenos Aires, durante </w:t>
      </w:r>
      <w:r w:rsidR="008A10ED">
        <w:rPr>
          <w:rFonts w:eastAsia="Arial Unicode MS" w:hAnsi="Arial Unicode MS" w:cs="Arial Unicode MS"/>
        </w:rPr>
        <w:t>cuatro</w:t>
      </w:r>
      <w:r>
        <w:rPr>
          <w:rFonts w:eastAsia="Arial Unicode MS" w:hAnsi="Arial Unicode MS" w:cs="Arial Unicode MS"/>
        </w:rPr>
        <w:t xml:space="preserve"> encuentros de lunes a viernes </w:t>
      </w:r>
      <w:r w:rsidR="006F0073">
        <w:rPr>
          <w:rFonts w:eastAsia="Arial Unicode MS" w:hAnsi="Arial Unicode MS" w:cs="Arial Unicode MS"/>
        </w:rPr>
        <w:t xml:space="preserve">de en el horario comprendido entre las 09:00 y las 17:00 </w:t>
      </w:r>
      <w:r>
        <w:rPr>
          <w:rFonts w:eastAsia="Arial Unicode MS" w:hAnsi="Arial Unicode MS" w:cs="Arial Unicode MS"/>
        </w:rPr>
        <w:t>horas.</w:t>
      </w:r>
    </w:p>
    <w:p w:rsidR="008979DE" w:rsidRPr="002B7F2F" w:rsidRDefault="00FD3B86" w:rsidP="00FA2785">
      <w:pPr>
        <w:pStyle w:val="Ttulo2"/>
        <w:rPr>
          <w:b/>
          <w:sz w:val="28"/>
          <w:szCs w:val="28"/>
        </w:rPr>
      </w:pPr>
      <w:r w:rsidRPr="002B7F2F">
        <w:rPr>
          <w:b/>
          <w:sz w:val="28"/>
          <w:szCs w:val="28"/>
        </w:rPr>
        <w:t>Costo</w:t>
      </w:r>
    </w:p>
    <w:p w:rsidR="008979DE" w:rsidRDefault="00FD3B86" w:rsidP="00FA2785">
      <w:r>
        <w:rPr>
          <w:rFonts w:eastAsia="Arial Unicode MS" w:hAnsi="Arial Unicode MS" w:cs="Arial Unicode MS"/>
        </w:rPr>
        <w:t xml:space="preserve">El Programa tiene un costo </w:t>
      </w:r>
      <w:r w:rsidR="00963540">
        <w:rPr>
          <w:rFonts w:eastAsia="Arial Unicode MS" w:hAnsi="Arial Unicode MS" w:cs="Arial Unicode MS"/>
        </w:rPr>
        <w:t xml:space="preserve"> de </w:t>
      </w:r>
      <w:r w:rsidR="008A10ED">
        <w:rPr>
          <w:rFonts w:eastAsia="Arial Unicode MS" w:hAnsi="Arial Unicode MS" w:cs="Arial Unicode MS"/>
        </w:rPr>
        <w:t>$15.500 pesos argentinos</w:t>
      </w:r>
      <w:r w:rsidR="006F0073">
        <w:rPr>
          <w:rFonts w:eastAsia="Arial Unicode MS" w:hAnsi="Arial Unicode MS" w:cs="Arial Unicode MS"/>
        </w:rPr>
        <w:t xml:space="preserve">, </w:t>
      </w:r>
      <w:r>
        <w:rPr>
          <w:rFonts w:eastAsia="Arial Unicode MS" w:hAnsi="Arial Unicode MS" w:cs="Arial Unicode MS"/>
        </w:rPr>
        <w:t>o su equivalente en d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lares estadounidenses.  Tanto los costos de pasajes as</w:t>
      </w:r>
      <w:r>
        <w:rPr>
          <w:rFonts w:ascii="Arial Unicode MS" w:eastAsia="Arial Unicode MS" w:cs="Arial Unicode MS"/>
        </w:rPr>
        <w:t>í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como los de alojamiento, est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 xml:space="preserve">n a cargo de cada participante. </w:t>
      </w:r>
    </w:p>
    <w:p w:rsidR="008979DE" w:rsidRDefault="00FD3B86" w:rsidP="00FA2785">
      <w:r>
        <w:rPr>
          <w:rFonts w:eastAsia="Arial Unicode MS" w:hAnsi="Arial Unicode MS" w:cs="Arial Unicode MS"/>
        </w:rPr>
        <w:lastRenderedPageBreak/>
        <w:t>Consultar por becas y medias becas.  Las mismas se otorgan en funci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n del cupo, teniendo en cuenta la totalidad de alumnos que se inscriben en los cursos y las posibilidades de los mismos para efectuar 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plicas y actividades que promuevan el fortalecimiento de los sistemas acusatorios en su pa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</w:rPr>
        <w:t>s o jurisdicci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 xml:space="preserve">n.  </w:t>
      </w:r>
    </w:p>
    <w:p w:rsidR="00A01E52" w:rsidRDefault="00FD3B86" w:rsidP="00FA2785">
      <w:r>
        <w:rPr>
          <w:rFonts w:eastAsia="Arial Unicode MS" w:hAnsi="Arial Unicode MS" w:cs="Arial Unicode MS"/>
        </w:rPr>
        <w:t>En este sentido solicitamos se adjunte a la consulta los antecedentes curriculares y una breve rese</w:t>
      </w:r>
      <w:r>
        <w:rPr>
          <w:rFonts w:ascii="Arial Unicode MS" w:eastAsia="Arial Unicode MS" w:cs="Arial Unicode MS"/>
        </w:rPr>
        <w:t>ñ</w:t>
      </w:r>
      <w:r>
        <w:rPr>
          <w:rFonts w:eastAsia="Arial Unicode MS" w:hAnsi="Arial Unicode MS" w:cs="Arial Unicode MS"/>
        </w:rPr>
        <w:t>a de los proyectos que el postulante podr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</w:rPr>
        <w:t xml:space="preserve">a impulsar desde su 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>mbito laboral o acad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mico.</w:t>
      </w:r>
    </w:p>
    <w:p w:rsidR="008979DE" w:rsidRPr="002B7F2F" w:rsidRDefault="00FD3B86" w:rsidP="00FA2785">
      <w:pPr>
        <w:pStyle w:val="Ttulo2"/>
        <w:rPr>
          <w:b/>
          <w:sz w:val="28"/>
          <w:szCs w:val="28"/>
        </w:rPr>
      </w:pPr>
      <w:r w:rsidRPr="002B7F2F">
        <w:rPr>
          <w:b/>
          <w:sz w:val="28"/>
          <w:szCs w:val="28"/>
        </w:rPr>
        <w:t>Inscripci</w:t>
      </w:r>
      <w:r w:rsidRPr="002B7F2F">
        <w:rPr>
          <w:rFonts w:ascii="Arial Unicode MS" w:hAnsi="Arial Bold"/>
          <w:b/>
          <w:sz w:val="28"/>
          <w:szCs w:val="28"/>
        </w:rPr>
        <w:t>ó</w:t>
      </w:r>
      <w:r w:rsidRPr="002B7F2F">
        <w:rPr>
          <w:b/>
          <w:sz w:val="28"/>
          <w:szCs w:val="28"/>
        </w:rPr>
        <w:t>n</w:t>
      </w:r>
    </w:p>
    <w:p w:rsidR="008979DE" w:rsidRDefault="00FD3B86" w:rsidP="00FA2785">
      <w:pPr>
        <w:jc w:val="left"/>
      </w:pPr>
      <w:r>
        <w:t xml:space="preserve">Los interesados </w:t>
      </w:r>
      <w:r w:rsidR="008E172D">
        <w:t xml:space="preserve"> podrán realizar consultas telefónicas  comunicándose al 1564675914 y </w:t>
      </w:r>
      <w:r>
        <w:t>deberán inscribirse enviando un mail a inscripcioncursos@unidosjusticia.org con los siguientes datos:</w:t>
      </w:r>
    </w:p>
    <w:p w:rsidR="008979DE" w:rsidRDefault="00FD3B86" w:rsidP="00FA2785">
      <w:r>
        <w:rPr>
          <w:rFonts w:eastAsia="Arial Unicode MS" w:hAnsi="Arial Unicode MS" w:cs="Arial Unicode MS"/>
        </w:rPr>
        <w:t>Nombre (s)</w:t>
      </w:r>
    </w:p>
    <w:p w:rsidR="008979DE" w:rsidRDefault="00FD3B86" w:rsidP="00FA2785">
      <w:r>
        <w:rPr>
          <w:rFonts w:eastAsia="Arial Unicode MS" w:hAnsi="Arial Unicode MS" w:cs="Arial Unicode MS"/>
        </w:rPr>
        <w:t>Apellido (s)</w:t>
      </w:r>
    </w:p>
    <w:p w:rsidR="008979DE" w:rsidRDefault="00FD3B86" w:rsidP="00FA2785">
      <w:r>
        <w:rPr>
          <w:rFonts w:eastAsia="Arial Unicode MS" w:hAnsi="Arial Unicode MS" w:cs="Arial Unicode MS"/>
        </w:rPr>
        <w:t>Sexo</w:t>
      </w:r>
    </w:p>
    <w:p w:rsidR="008979DE" w:rsidRDefault="00FD3B86" w:rsidP="00FA2785">
      <w:r>
        <w:rPr>
          <w:rFonts w:eastAsia="Arial Unicode MS" w:hAnsi="Arial Unicode MS" w:cs="Arial Unicode MS"/>
        </w:rPr>
        <w:t>Nacionalidad</w:t>
      </w:r>
    </w:p>
    <w:p w:rsidR="008979DE" w:rsidRDefault="00FD3B86" w:rsidP="00FA2785">
      <w:r>
        <w:rPr>
          <w:rFonts w:eastAsia="Arial Unicode MS" w:hAnsi="Arial Unicode MS" w:cs="Arial Unicode MS"/>
        </w:rPr>
        <w:t>Pa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</w:rPr>
        <w:t>s de Residencia</w:t>
      </w:r>
    </w:p>
    <w:p w:rsidR="008979DE" w:rsidRDefault="00FD3B86" w:rsidP="00FA2785">
      <w:r>
        <w:rPr>
          <w:rFonts w:eastAsia="Arial Unicode MS" w:hAnsi="Arial Unicode MS" w:cs="Arial Unicode MS"/>
        </w:rPr>
        <w:t>Ciudad de Residencia</w:t>
      </w:r>
    </w:p>
    <w:p w:rsidR="008979DE" w:rsidRDefault="00FD3B86" w:rsidP="00FA2785">
      <w:r>
        <w:rPr>
          <w:rFonts w:eastAsia="Arial Unicode MS" w:hAnsi="Arial Unicode MS" w:cs="Arial Unicode MS"/>
        </w:rPr>
        <w:t>Domicilio</w:t>
      </w:r>
    </w:p>
    <w:p w:rsidR="008979DE" w:rsidRDefault="00FD3B86" w:rsidP="00FA2785">
      <w:r>
        <w:rPr>
          <w:rFonts w:eastAsia="Arial Unicode MS" w:hAnsi="Arial Unicode MS" w:cs="Arial Unicode MS"/>
        </w:rPr>
        <w:t>Tel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fono</w:t>
      </w:r>
    </w:p>
    <w:p w:rsidR="008979DE" w:rsidRDefault="00FD3B86" w:rsidP="00FA2785">
      <w:r>
        <w:rPr>
          <w:rFonts w:eastAsia="Arial Unicode MS" w:hAnsi="Arial Unicode MS" w:cs="Arial Unicode MS"/>
        </w:rPr>
        <w:t>Celular</w:t>
      </w:r>
    </w:p>
    <w:p w:rsidR="008979DE" w:rsidRDefault="00FD3B86" w:rsidP="00FA2785">
      <w:r>
        <w:rPr>
          <w:rFonts w:eastAsia="Arial Unicode MS" w:hAnsi="Arial Unicode MS" w:cs="Arial Unicode MS"/>
        </w:rPr>
        <w:t>Correo electr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nico</w:t>
      </w:r>
    </w:p>
    <w:p w:rsidR="008979DE" w:rsidRDefault="00FD3B86" w:rsidP="00FA2785">
      <w:r>
        <w:rPr>
          <w:rFonts w:eastAsia="Arial Unicode MS" w:hAnsi="Arial Unicode MS" w:cs="Arial Unicode MS"/>
        </w:rPr>
        <w:t>Profesi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n</w:t>
      </w:r>
    </w:p>
    <w:p w:rsidR="008979DE" w:rsidRDefault="00FD3B86" w:rsidP="00FA2785">
      <w:r>
        <w:rPr>
          <w:rFonts w:eastAsia="Arial Unicode MS" w:hAnsi="Arial Unicode MS" w:cs="Arial Unicode MS"/>
        </w:rPr>
        <w:t>Instituci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n</w:t>
      </w:r>
    </w:p>
    <w:p w:rsidR="008979DE" w:rsidRDefault="00FD3B86" w:rsidP="00FA2785">
      <w:r>
        <w:rPr>
          <w:rFonts w:eastAsia="Arial Unicode MS" w:hAnsi="Arial Unicode MS" w:cs="Arial Unicode MS"/>
        </w:rPr>
        <w:t>Cargo</w:t>
      </w:r>
    </w:p>
    <w:sectPr w:rsidR="008979DE" w:rsidSect="00717A8C">
      <w:headerReference w:type="default" r:id="rId9"/>
      <w:footerReference w:type="default" r:id="rId10"/>
      <w:headerReference w:type="first" r:id="rId11"/>
      <w:pgSz w:w="11900" w:h="16840"/>
      <w:pgMar w:top="1418" w:right="170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E3" w:rsidRDefault="007C0AE3">
      <w:pPr>
        <w:spacing w:after="0" w:line="240" w:lineRule="auto"/>
      </w:pPr>
      <w:r>
        <w:separator/>
      </w:r>
    </w:p>
  </w:endnote>
  <w:endnote w:type="continuationSeparator" w:id="0">
    <w:p w:rsidR="007C0AE3" w:rsidRDefault="007C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Scala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DE" w:rsidRDefault="00717A8C">
    <w:pPr>
      <w:pStyle w:val="Piedepgina"/>
      <w:tabs>
        <w:tab w:val="clear" w:pos="8640"/>
        <w:tab w:val="right" w:pos="8478"/>
      </w:tabs>
      <w:jc w:val="right"/>
    </w:pPr>
    <w:r>
      <w:fldChar w:fldCharType="begin"/>
    </w:r>
    <w:r w:rsidR="00FD3B86">
      <w:instrText xml:space="preserve"> PAGE </w:instrText>
    </w:r>
    <w:r>
      <w:fldChar w:fldCharType="separate"/>
    </w:r>
    <w:r w:rsidR="00B96673">
      <w:rPr>
        <w:noProof/>
      </w:rPr>
      <w:t>2</w:t>
    </w:r>
    <w:r>
      <w:fldChar w:fldCharType="end"/>
    </w:r>
  </w:p>
  <w:p w:rsidR="008979DE" w:rsidRDefault="008979DE">
    <w:pPr>
      <w:pStyle w:val="Piedepgina"/>
      <w:tabs>
        <w:tab w:val="right" w:pos="9360"/>
      </w:tabs>
      <w:spacing w:after="0" w:line="240" w:lineRule="auto"/>
      <w:jc w:val="center"/>
      <w:rPr>
        <w:color w:val="333333"/>
        <w:sz w:val="16"/>
        <w:szCs w:val="16"/>
        <w:u w:color="333333"/>
      </w:rPr>
    </w:pPr>
  </w:p>
  <w:p w:rsidR="008979DE" w:rsidRDefault="008979DE">
    <w:pPr>
      <w:pStyle w:val="Piedepgina"/>
      <w:tabs>
        <w:tab w:val="right" w:pos="9360"/>
      </w:tabs>
      <w:spacing w:after="0" w:line="240" w:lineRule="auto"/>
      <w:jc w:val="center"/>
      <w:rPr>
        <w:color w:val="333333"/>
        <w:sz w:val="16"/>
        <w:szCs w:val="16"/>
        <w:u w:color="333333"/>
      </w:rPr>
    </w:pPr>
  </w:p>
  <w:p w:rsidR="008979DE" w:rsidRDefault="00FD3B86">
    <w:pPr>
      <w:pStyle w:val="Piedepgina"/>
      <w:tabs>
        <w:tab w:val="right" w:pos="9360"/>
      </w:tabs>
      <w:spacing w:after="0" w:line="240" w:lineRule="auto"/>
      <w:jc w:val="center"/>
      <w:rPr>
        <w:color w:val="333333"/>
        <w:sz w:val="16"/>
        <w:szCs w:val="16"/>
        <w:u w:color="333333"/>
      </w:rPr>
    </w:pPr>
    <w:r>
      <w:rPr>
        <w:color w:val="333333"/>
        <w:sz w:val="16"/>
        <w:szCs w:val="16"/>
        <w:u w:color="333333"/>
      </w:rPr>
      <w:t xml:space="preserve">Unidos por la Justicia Asociación Civil | Paraguay 435, 3ro 38 | Buenos Aires – ARGENTINA | C1057AAC </w:t>
    </w:r>
  </w:p>
  <w:p w:rsidR="008979DE" w:rsidRPr="00F66A7A" w:rsidRDefault="00FD3B86">
    <w:pPr>
      <w:pStyle w:val="Piedepgina"/>
      <w:tabs>
        <w:tab w:val="right" w:pos="9360"/>
      </w:tabs>
      <w:spacing w:after="0" w:line="240" w:lineRule="auto"/>
      <w:jc w:val="center"/>
      <w:rPr>
        <w:lang w:val="en-US"/>
      </w:rPr>
    </w:pPr>
    <w:r>
      <w:rPr>
        <w:color w:val="333333"/>
        <w:sz w:val="16"/>
        <w:szCs w:val="16"/>
        <w:u w:color="333333"/>
        <w:lang w:val="pt-PT"/>
      </w:rPr>
      <w:t xml:space="preserve">Tel. (54-11) 4516-0158 | E-mail: </w:t>
    </w:r>
    <w:hyperlink r:id="rId1" w:history="1">
      <w:r>
        <w:rPr>
          <w:rStyle w:val="Hyperlink0"/>
        </w:rPr>
        <w:t>info@unidosjusticia.org.ar</w:t>
      </w:r>
    </w:hyperlink>
    <w:r>
      <w:rPr>
        <w:color w:val="333333"/>
        <w:sz w:val="16"/>
        <w:szCs w:val="16"/>
        <w:u w:color="333333"/>
        <w:lang w:val="pt-PT"/>
      </w:rPr>
      <w:t xml:space="preserve"> | Web: </w:t>
    </w:r>
    <w:hyperlink r:id="rId2" w:history="1">
      <w:r>
        <w:rPr>
          <w:rStyle w:val="Hyperlink0"/>
        </w:rPr>
        <w:t>www.unidosjusticia.org.ar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E3" w:rsidRDefault="007C0AE3">
      <w:pPr>
        <w:spacing w:after="0" w:line="240" w:lineRule="auto"/>
      </w:pPr>
      <w:r>
        <w:separator/>
      </w:r>
    </w:p>
  </w:footnote>
  <w:footnote w:type="continuationSeparator" w:id="0">
    <w:p w:rsidR="007C0AE3" w:rsidRDefault="007C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DE" w:rsidRDefault="00FD3B86">
    <w:pPr>
      <w:pStyle w:val="Encabezado"/>
      <w:jc w:val="right"/>
    </w:pPr>
    <w:r>
      <w:rPr>
        <w:noProof/>
        <w:lang w:val="es-AR"/>
      </w:rPr>
      <w:drawing>
        <wp:inline distT="0" distB="0" distL="0" distR="0" wp14:anchorId="1BFDF387" wp14:editId="787443AD">
          <wp:extent cx="1412748" cy="48554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ok4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748" cy="4855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i/>
        <w:iCs/>
        <w:sz w:val="16"/>
        <w:szCs w:val="16"/>
      </w:rPr>
      <w:t>Programa de Capacitaci</w:t>
    </w:r>
    <w:r>
      <w:rPr>
        <w:rFonts w:hAnsi="Arial"/>
        <w:i/>
        <w:iCs/>
        <w:sz w:val="16"/>
        <w:szCs w:val="16"/>
      </w:rPr>
      <w:t>ó</w:t>
    </w:r>
    <w:r>
      <w:rPr>
        <w:i/>
        <w:iCs/>
        <w:sz w:val="16"/>
        <w:szCs w:val="16"/>
      </w:rPr>
      <w:t xml:space="preserve">n </w:t>
    </w:r>
    <w:r w:rsidR="008A10ED">
      <w:rPr>
        <w:i/>
        <w:iCs/>
        <w:sz w:val="16"/>
        <w:szCs w:val="16"/>
      </w:rPr>
      <w:t>sobre Litigaci</w:t>
    </w:r>
    <w:r w:rsidR="008A10ED">
      <w:rPr>
        <w:i/>
        <w:iCs/>
        <w:sz w:val="16"/>
        <w:szCs w:val="16"/>
      </w:rPr>
      <w:t>ó</w:t>
    </w:r>
    <w:r w:rsidR="008A10ED">
      <w:rPr>
        <w:i/>
        <w:iCs/>
        <w:sz w:val="16"/>
        <w:szCs w:val="16"/>
      </w:rPr>
      <w:t>n</w:t>
    </w:r>
    <w:r w:rsidR="00586DDE">
      <w:rPr>
        <w:i/>
        <w:iCs/>
        <w:sz w:val="16"/>
        <w:szCs w:val="16"/>
      </w:rPr>
      <w:t xml:space="preserve"> Oral en</w:t>
    </w:r>
    <w:r w:rsidR="008A10ED">
      <w:rPr>
        <w:i/>
        <w:iCs/>
        <w:sz w:val="16"/>
        <w:szCs w:val="16"/>
      </w:rPr>
      <w:t xml:space="preserve"> Cibercrimen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DE" w:rsidRDefault="00FD3B86">
    <w:pPr>
      <w:pStyle w:val="Encabezado"/>
      <w:tabs>
        <w:tab w:val="clear" w:pos="8640"/>
        <w:tab w:val="right" w:pos="8478"/>
      </w:tabs>
    </w:pPr>
    <w:r>
      <w:rPr>
        <w:noProof/>
        <w:lang w:val="es-AR"/>
      </w:rPr>
      <w:drawing>
        <wp:inline distT="0" distB="0" distL="0" distR="0">
          <wp:extent cx="2161642" cy="743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ok4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642" cy="743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D32"/>
    <w:multiLevelType w:val="multilevel"/>
    <w:tmpl w:val="D3504650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</w:abstractNum>
  <w:abstractNum w:abstractNumId="1" w15:restartNumberingAfterBreak="0">
    <w:nsid w:val="06F210EF"/>
    <w:multiLevelType w:val="multilevel"/>
    <w:tmpl w:val="91D40B12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</w:abstractNum>
  <w:abstractNum w:abstractNumId="2" w15:restartNumberingAfterBreak="0">
    <w:nsid w:val="0A855275"/>
    <w:multiLevelType w:val="multilevel"/>
    <w:tmpl w:val="39C822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F7F227D"/>
    <w:multiLevelType w:val="multilevel"/>
    <w:tmpl w:val="9FA4D312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</w:abstractNum>
  <w:abstractNum w:abstractNumId="4" w15:restartNumberingAfterBreak="0">
    <w:nsid w:val="1ABB3A83"/>
    <w:multiLevelType w:val="multilevel"/>
    <w:tmpl w:val="E5C8AD42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</w:abstractNum>
  <w:abstractNum w:abstractNumId="5" w15:restartNumberingAfterBreak="0">
    <w:nsid w:val="1F5D7A90"/>
    <w:multiLevelType w:val="multilevel"/>
    <w:tmpl w:val="4CB0660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24FE6233"/>
    <w:multiLevelType w:val="multilevel"/>
    <w:tmpl w:val="1890AA56"/>
    <w:styleLink w:val="List0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</w:abstractNum>
  <w:abstractNum w:abstractNumId="7" w15:restartNumberingAfterBreak="0">
    <w:nsid w:val="336B59DA"/>
    <w:multiLevelType w:val="multilevel"/>
    <w:tmpl w:val="73D6785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6A21479"/>
    <w:multiLevelType w:val="multilevel"/>
    <w:tmpl w:val="476EB386"/>
    <w:styleLink w:val="Lista31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</w:abstractNum>
  <w:abstractNum w:abstractNumId="9" w15:restartNumberingAfterBreak="0">
    <w:nsid w:val="396D53F6"/>
    <w:multiLevelType w:val="multilevel"/>
    <w:tmpl w:val="A8FA2D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3DC43FAE"/>
    <w:multiLevelType w:val="multilevel"/>
    <w:tmpl w:val="5F3847FC"/>
    <w:styleLink w:val="Lista21"/>
    <w:lvl w:ilvl="0">
      <w:start w:val="1"/>
      <w:numFmt w:val="lowerLetter"/>
      <w:lvlText w:val="%1)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</w:abstractNum>
  <w:abstractNum w:abstractNumId="11" w15:restartNumberingAfterBreak="0">
    <w:nsid w:val="3EAD3D09"/>
    <w:multiLevelType w:val="hybridMultilevel"/>
    <w:tmpl w:val="1FD0C518"/>
    <w:lvl w:ilvl="0" w:tplc="17C06682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64AC1"/>
    <w:multiLevelType w:val="hybridMultilevel"/>
    <w:tmpl w:val="EB14E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74411"/>
    <w:multiLevelType w:val="multilevel"/>
    <w:tmpl w:val="FD1CD1F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585448A8"/>
    <w:multiLevelType w:val="hybridMultilevel"/>
    <w:tmpl w:val="987AEBB0"/>
    <w:lvl w:ilvl="0" w:tplc="2B64084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27C50"/>
    <w:multiLevelType w:val="multilevel"/>
    <w:tmpl w:val="CC2A1F84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6F474EF6"/>
    <w:multiLevelType w:val="hybridMultilevel"/>
    <w:tmpl w:val="BE2ADBB0"/>
    <w:lvl w:ilvl="0" w:tplc="E0F6C840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A1FF3"/>
    <w:multiLevelType w:val="multilevel"/>
    <w:tmpl w:val="B748ED86"/>
    <w:lvl w:ilvl="0">
      <w:start w:val="1"/>
      <w:numFmt w:val="lowerLetter"/>
      <w:lvlText w:val="%1)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</w:abstractNum>
  <w:abstractNum w:abstractNumId="18" w15:restartNumberingAfterBreak="0">
    <w:nsid w:val="76E92A78"/>
    <w:multiLevelType w:val="hybridMultilevel"/>
    <w:tmpl w:val="AE905F4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67FA1"/>
    <w:multiLevelType w:val="hybridMultilevel"/>
    <w:tmpl w:val="A994FF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13"/>
  </w:num>
  <w:num w:numId="11">
    <w:abstractNumId w:val="10"/>
  </w:num>
  <w:num w:numId="12">
    <w:abstractNumId w:val="0"/>
  </w:num>
  <w:num w:numId="13">
    <w:abstractNumId w:val="15"/>
  </w:num>
  <w:num w:numId="14">
    <w:abstractNumId w:val="8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DE"/>
    <w:rsid w:val="00022E23"/>
    <w:rsid w:val="00053D57"/>
    <w:rsid w:val="000640B0"/>
    <w:rsid w:val="0009221F"/>
    <w:rsid w:val="000B6355"/>
    <w:rsid w:val="00124197"/>
    <w:rsid w:val="001476AF"/>
    <w:rsid w:val="00186BE3"/>
    <w:rsid w:val="00252F88"/>
    <w:rsid w:val="002852C8"/>
    <w:rsid w:val="0029080E"/>
    <w:rsid w:val="002B7F2F"/>
    <w:rsid w:val="00314380"/>
    <w:rsid w:val="00322FEA"/>
    <w:rsid w:val="00354F21"/>
    <w:rsid w:val="00447072"/>
    <w:rsid w:val="004612E6"/>
    <w:rsid w:val="00493861"/>
    <w:rsid w:val="004F7CFE"/>
    <w:rsid w:val="0052154F"/>
    <w:rsid w:val="005525CC"/>
    <w:rsid w:val="00586DDE"/>
    <w:rsid w:val="00640F76"/>
    <w:rsid w:val="00644DBB"/>
    <w:rsid w:val="006F0073"/>
    <w:rsid w:val="00711090"/>
    <w:rsid w:val="00717A8C"/>
    <w:rsid w:val="00736C57"/>
    <w:rsid w:val="00740370"/>
    <w:rsid w:val="007B1A27"/>
    <w:rsid w:val="007C0AE3"/>
    <w:rsid w:val="00803E43"/>
    <w:rsid w:val="00810CAF"/>
    <w:rsid w:val="008979DE"/>
    <w:rsid w:val="008A10ED"/>
    <w:rsid w:val="008E172D"/>
    <w:rsid w:val="00963540"/>
    <w:rsid w:val="00974FE8"/>
    <w:rsid w:val="009D598C"/>
    <w:rsid w:val="00A01E52"/>
    <w:rsid w:val="00A72F4C"/>
    <w:rsid w:val="00A9568E"/>
    <w:rsid w:val="00AD4BFB"/>
    <w:rsid w:val="00B142E6"/>
    <w:rsid w:val="00B34254"/>
    <w:rsid w:val="00B35CD7"/>
    <w:rsid w:val="00B4057E"/>
    <w:rsid w:val="00B96404"/>
    <w:rsid w:val="00B96673"/>
    <w:rsid w:val="00C0233F"/>
    <w:rsid w:val="00C1449C"/>
    <w:rsid w:val="00C222D2"/>
    <w:rsid w:val="00C23AF2"/>
    <w:rsid w:val="00CE094B"/>
    <w:rsid w:val="00CF502E"/>
    <w:rsid w:val="00D455AF"/>
    <w:rsid w:val="00D54B2F"/>
    <w:rsid w:val="00D90503"/>
    <w:rsid w:val="00DA789E"/>
    <w:rsid w:val="00E22412"/>
    <w:rsid w:val="00E5448A"/>
    <w:rsid w:val="00E73948"/>
    <w:rsid w:val="00ED0C8A"/>
    <w:rsid w:val="00F1047F"/>
    <w:rsid w:val="00F66A7A"/>
    <w:rsid w:val="00FA2785"/>
    <w:rsid w:val="0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56A5339-7066-494E-816A-DF58493D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2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lang w:val="es-ES_tradnl" w:eastAsia="en-US"/>
    </w:rPr>
  </w:style>
  <w:style w:type="paragraph" w:styleId="Ttulo1">
    <w:name w:val="heading 1"/>
    <w:next w:val="Normal"/>
    <w:link w:val="Ttulo1Car"/>
    <w:qFormat/>
    <w:pPr>
      <w:keepNext/>
      <w:spacing w:before="240" w:after="60" w:line="360" w:lineRule="auto"/>
      <w:jc w:val="both"/>
      <w:outlineLvl w:val="0"/>
    </w:pPr>
    <w:rPr>
      <w:rFonts w:ascii="Arial Bold" w:eastAsia="Arial Bold" w:hAnsi="Arial Bold" w:cs="Arial Bold"/>
      <w:color w:val="000000"/>
      <w:kern w:val="32"/>
      <w:sz w:val="28"/>
      <w:szCs w:val="28"/>
      <w:u w:color="000000"/>
      <w:lang w:val="es-ES_tradnl"/>
    </w:rPr>
  </w:style>
  <w:style w:type="paragraph" w:styleId="Ttulo2">
    <w:name w:val="heading 2"/>
    <w:next w:val="Normal"/>
    <w:pPr>
      <w:keepNext/>
      <w:spacing w:before="240" w:after="120"/>
      <w:jc w:val="both"/>
      <w:outlineLvl w:val="1"/>
    </w:pPr>
    <w:rPr>
      <w:rFonts w:ascii="Arial Bold" w:hAnsi="Arial Unicode MS" w:cs="Arial Unicode MS"/>
      <w:smallCap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Normal"/>
    <w:pPr>
      <w:keepNext/>
      <w:spacing w:before="240" w:after="60" w:line="360" w:lineRule="auto"/>
      <w:jc w:val="both"/>
      <w:outlineLvl w:val="2"/>
    </w:pPr>
    <w:rPr>
      <w:rFonts w:ascii="Arial" w:hAnsi="Arial Unicode MS" w:cs="Arial Unicode MS"/>
      <w:i/>
      <w:i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  <w:spacing w:after="120" w:line="360" w:lineRule="auto"/>
      <w:jc w:val="both"/>
    </w:pPr>
    <w:rPr>
      <w:rFonts w:ascii="Arial" w:hAnsi="Arial Unicode MS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320"/>
        <w:tab w:val="right" w:pos="8640"/>
      </w:tabs>
      <w:spacing w:after="12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character" w:styleId="Nmerodepgina">
    <w:name w:val="page number"/>
  </w:style>
  <w:style w:type="character" w:customStyle="1" w:styleId="Hyperlink0">
    <w:name w:val="Hyperlink.0"/>
    <w:basedOn w:val="Nmerodepgina"/>
    <w:rPr>
      <w:rFonts w:ascii="Arial" w:eastAsia="Arial" w:hAnsi="Arial" w:cs="Arial"/>
      <w:color w:val="333333"/>
      <w:sz w:val="16"/>
      <w:szCs w:val="16"/>
      <w:u w:val="single" w:color="333333"/>
      <w:lang w:val="pt-PT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uesto">
    <w:name w:val="Title"/>
    <w:next w:val="Normal"/>
    <w:pPr>
      <w:spacing w:after="200"/>
      <w:jc w:val="right"/>
    </w:pPr>
    <w:rPr>
      <w:rFonts w:ascii="Calibri" w:eastAsia="Calibri" w:hAnsi="Calibri" w:cs="Calibri"/>
      <w:smallCaps/>
      <w:color w:val="000000"/>
      <w:sz w:val="48"/>
      <w:szCs w:val="48"/>
      <w:u w:color="000000"/>
      <w:lang w:val="en-US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11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4"/>
      </w:numPr>
    </w:pPr>
  </w:style>
  <w:style w:type="numbering" w:customStyle="1" w:styleId="Estiloimportado4">
    <w:name w:val="Estilo importado 4"/>
  </w:style>
  <w:style w:type="paragraph" w:styleId="Textodeglobo">
    <w:name w:val="Balloon Text"/>
    <w:basedOn w:val="Normal"/>
    <w:link w:val="TextodegloboCar"/>
    <w:uiPriority w:val="99"/>
    <w:semiHidden/>
    <w:unhideWhenUsed/>
    <w:rsid w:val="00F6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A7A"/>
    <w:rPr>
      <w:rFonts w:ascii="Tahoma" w:eastAsia="Arial" w:hAnsi="Tahoma" w:cs="Tahoma"/>
      <w:color w:val="000000"/>
      <w:sz w:val="16"/>
      <w:szCs w:val="16"/>
      <w:u w:color="000000"/>
      <w:lang w:val="es-ES_tradnl" w:eastAsia="en-US"/>
    </w:rPr>
  </w:style>
  <w:style w:type="character" w:customStyle="1" w:styleId="Ttulo1Car">
    <w:name w:val="Título 1 Car"/>
    <w:link w:val="Ttulo1"/>
    <w:rsid w:val="00124197"/>
    <w:rPr>
      <w:rFonts w:ascii="Arial Bold" w:eastAsia="Arial Bold" w:hAnsi="Arial Bold" w:cs="Arial Bold"/>
      <w:color w:val="000000"/>
      <w:kern w:val="32"/>
      <w:sz w:val="28"/>
      <w:szCs w:val="28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736C57"/>
    <w:pPr>
      <w:ind w:left="720"/>
      <w:contextualSpacing/>
    </w:pPr>
  </w:style>
  <w:style w:type="paragraph" w:customStyle="1" w:styleId="Cuerpo">
    <w:name w:val="Cuerpo"/>
    <w:rsid w:val="00E5448A"/>
    <w:pPr>
      <w:spacing w:after="12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dosjusticia.org.ar" TargetMode="External"/><Relationship Id="rId1" Type="http://schemas.openxmlformats.org/officeDocument/2006/relationships/hyperlink" Target="mailto:info@unidosjustici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5530-324F-4F8C-8C6B-14E6E90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5957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M.Flor</dc:creator>
  <cp:lastModifiedBy>PERNAS, Susana Marta</cp:lastModifiedBy>
  <cp:revision>2</cp:revision>
  <cp:lastPrinted>2019-05-15T19:18:00Z</cp:lastPrinted>
  <dcterms:created xsi:type="dcterms:W3CDTF">2019-05-15T19:19:00Z</dcterms:created>
  <dcterms:modified xsi:type="dcterms:W3CDTF">2019-05-15T19:19:00Z</dcterms:modified>
</cp:coreProperties>
</file>