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DE" w:rsidRDefault="008979DE">
      <w:pPr>
        <w:rPr>
          <w:sz w:val="18"/>
          <w:szCs w:val="18"/>
        </w:rPr>
      </w:pPr>
      <w:bookmarkStart w:id="0" w:name="_GoBack"/>
      <w:bookmarkEnd w:id="0"/>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Puesto"/>
        <w:rPr>
          <w:rFonts w:ascii="Arial" w:eastAsia="Arial" w:hAnsi="Arial" w:cs="Arial"/>
          <w:sz w:val="28"/>
          <w:szCs w:val="28"/>
          <w:lang w:val="es-ES_tradnl"/>
        </w:rPr>
      </w:pPr>
      <w:r>
        <w:rPr>
          <w:rFonts w:ascii="Arial"/>
          <w:sz w:val="28"/>
          <w:szCs w:val="28"/>
          <w:lang w:val="es-ES_tradnl"/>
        </w:rPr>
        <w:t>Programa de Capacitaci</w:t>
      </w:r>
      <w:r>
        <w:rPr>
          <w:rFonts w:hAnsi="Arial"/>
          <w:sz w:val="28"/>
          <w:szCs w:val="28"/>
          <w:lang w:val="es-ES_tradnl"/>
        </w:rPr>
        <w:t>ó</w:t>
      </w:r>
      <w:r>
        <w:rPr>
          <w:rFonts w:ascii="Arial"/>
          <w:sz w:val="28"/>
          <w:szCs w:val="28"/>
          <w:lang w:val="es-ES_tradnl"/>
        </w:rPr>
        <w:t xml:space="preserve">n </w:t>
      </w:r>
      <w:r w:rsidR="008A10ED">
        <w:rPr>
          <w:rFonts w:ascii="Arial"/>
          <w:sz w:val="28"/>
          <w:szCs w:val="28"/>
          <w:lang w:val="es-ES_tradnl"/>
        </w:rPr>
        <w:t xml:space="preserve">sobre </w:t>
      </w:r>
      <w:r w:rsidR="00663403">
        <w:rPr>
          <w:rFonts w:ascii="Arial"/>
          <w:sz w:val="28"/>
          <w:szCs w:val="28"/>
          <w:lang w:val="es-ES_tradnl"/>
        </w:rPr>
        <w:t>Aproximaci</w:t>
      </w:r>
      <w:r w:rsidR="00663403">
        <w:rPr>
          <w:rFonts w:ascii="Arial"/>
          <w:sz w:val="28"/>
          <w:szCs w:val="28"/>
          <w:lang w:val="es-ES_tradnl"/>
        </w:rPr>
        <w:t>ó</w:t>
      </w:r>
      <w:r w:rsidR="00663403">
        <w:rPr>
          <w:rFonts w:ascii="Arial"/>
          <w:sz w:val="28"/>
          <w:szCs w:val="28"/>
          <w:lang w:val="es-ES_tradnl"/>
        </w:rPr>
        <w:t>n al Juicio por Jurados</w:t>
      </w:r>
    </w:p>
    <w:p w:rsidR="008979DE" w:rsidRDefault="00FD3B86">
      <w:pPr>
        <w:pStyle w:val="Puesto"/>
        <w:rPr>
          <w:rFonts w:ascii="Arial" w:eastAsia="Arial" w:hAnsi="Arial" w:cs="Arial"/>
          <w:sz w:val="28"/>
          <w:szCs w:val="28"/>
          <w:lang w:val="es-ES_tradnl"/>
        </w:rPr>
      </w:pPr>
      <w:r>
        <w:rPr>
          <w:rFonts w:ascii="Arial"/>
          <w:sz w:val="28"/>
          <w:szCs w:val="28"/>
          <w:lang w:val="es-ES_tradnl"/>
        </w:rPr>
        <w:t xml:space="preserve">Unidos por la justicia </w:t>
      </w:r>
    </w:p>
    <w:p w:rsidR="008979DE" w:rsidRDefault="00FD3B86">
      <w:pPr>
        <w:pStyle w:val="Puesto"/>
        <w:rPr>
          <w:rFonts w:ascii="Arial" w:eastAsia="Arial" w:hAnsi="Arial" w:cs="Arial"/>
          <w:sz w:val="28"/>
          <w:szCs w:val="28"/>
          <w:lang w:val="es-ES_tradnl"/>
        </w:rPr>
      </w:pPr>
      <w:r>
        <w:rPr>
          <w:rFonts w:ascii="Arial"/>
          <w:sz w:val="28"/>
          <w:szCs w:val="28"/>
          <w:lang w:val="es-ES_tradnl"/>
        </w:rPr>
        <w:t>A</w:t>
      </w:r>
      <w:r>
        <w:rPr>
          <w:rFonts w:hAnsi="Arial"/>
          <w:sz w:val="28"/>
          <w:szCs w:val="28"/>
          <w:lang w:val="es-ES_tradnl"/>
        </w:rPr>
        <w:t>ñ</w:t>
      </w:r>
      <w:r>
        <w:rPr>
          <w:rFonts w:ascii="Arial"/>
          <w:sz w:val="28"/>
          <w:szCs w:val="28"/>
          <w:lang w:val="es-ES_tradnl"/>
        </w:rPr>
        <w:t>o 201</w:t>
      </w:r>
      <w:r w:rsidR="00974FE8">
        <w:rPr>
          <w:rFonts w:ascii="Arial"/>
          <w:sz w:val="28"/>
          <w:szCs w:val="28"/>
          <w:lang w:val="es-ES_tradnl"/>
        </w:rPr>
        <w:t>9</w:t>
      </w:r>
    </w:p>
    <w:p w:rsidR="008979DE" w:rsidRDefault="008979DE">
      <w:pPr>
        <w:jc w:val="right"/>
        <w:rPr>
          <w:i/>
          <w:iCs/>
          <w:sz w:val="28"/>
          <w:szCs w:val="28"/>
        </w:rPr>
      </w:pPr>
    </w:p>
    <w:p w:rsidR="00124197" w:rsidRDefault="00124197" w:rsidP="00124197">
      <w:pPr>
        <w:jc w:val="center"/>
        <w:rPr>
          <w:lang w:val="es-AR"/>
        </w:rPr>
      </w:pPr>
    </w:p>
    <w:p w:rsidR="00663403" w:rsidRDefault="00663403" w:rsidP="00124197">
      <w:pPr>
        <w:jc w:val="center"/>
        <w:rPr>
          <w:lang w:val="es-AR"/>
        </w:rPr>
      </w:pPr>
    </w:p>
    <w:p w:rsidR="00124197" w:rsidRDefault="00124197" w:rsidP="00124197">
      <w:pPr>
        <w:jc w:val="center"/>
        <w:rPr>
          <w:lang w:val="es-AR"/>
        </w:rPr>
      </w:pPr>
    </w:p>
    <w:p w:rsidR="00124197" w:rsidRPr="00ED6B89" w:rsidRDefault="00124197" w:rsidP="00124197">
      <w:pPr>
        <w:jc w:val="center"/>
        <w:rPr>
          <w:lang w:val="es-AR"/>
        </w:rPr>
      </w:pPr>
      <w:r>
        <w:rPr>
          <w:lang w:val="es-AR"/>
        </w:rPr>
        <w:t>Auspicio Centro de Estudios de Justicia de las Américas - CEJA</w:t>
      </w:r>
    </w:p>
    <w:p w:rsidR="00124197" w:rsidRPr="00ED6B89" w:rsidRDefault="00124197" w:rsidP="00124197">
      <w:pPr>
        <w:jc w:val="center"/>
        <w:rPr>
          <w:lang w:val="es-AR"/>
        </w:rPr>
      </w:pPr>
      <w:r>
        <w:rPr>
          <w:noProof/>
          <w:sz w:val="48"/>
          <w:szCs w:val="48"/>
          <w:lang w:val="es-AR" w:eastAsia="es-AR"/>
        </w:rPr>
        <w:drawing>
          <wp:inline distT="0" distB="0" distL="0" distR="0">
            <wp:extent cx="2657475"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p w:rsidR="00124197" w:rsidRPr="00A37F27" w:rsidRDefault="00124197" w:rsidP="00124197">
      <w:pPr>
        <w:jc w:val="center"/>
        <w:rPr>
          <w:sz w:val="48"/>
          <w:szCs w:val="48"/>
          <w:lang w:val="es-AR"/>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8979DE">
      <w:pPr>
        <w:jc w:val="center"/>
        <w:rPr>
          <w:rFonts w:ascii="Arial Bold" w:eastAsia="Arial Bold" w:hAnsi="Arial Bold" w:cs="Arial Bold"/>
          <w:sz w:val="18"/>
          <w:szCs w:val="18"/>
          <w:u w:val="single"/>
        </w:rPr>
      </w:pPr>
    </w:p>
    <w:p w:rsidR="008979DE" w:rsidRDefault="00FD3B86">
      <w:pPr>
        <w:pStyle w:val="Ttulo1"/>
      </w:pPr>
      <w:r>
        <w:rPr>
          <w:sz w:val="18"/>
          <w:szCs w:val="18"/>
        </w:rPr>
        <w:br w:type="page"/>
      </w:r>
    </w:p>
    <w:p w:rsidR="002E7216" w:rsidRPr="00663403" w:rsidRDefault="002E7216" w:rsidP="002E7216">
      <w:pPr>
        <w:pStyle w:val="Ttulo1"/>
        <w:jc w:val="center"/>
        <w:rPr>
          <w:rFonts w:ascii="Arial" w:hAnsi="Arial" w:cs="Arial"/>
          <w:b/>
          <w:color w:val="auto"/>
          <w:sz w:val="24"/>
          <w:szCs w:val="24"/>
          <w:lang w:val="es-AR"/>
        </w:rPr>
      </w:pPr>
      <w:r w:rsidRPr="00663403">
        <w:rPr>
          <w:rFonts w:ascii="Arial" w:hAnsi="Arial" w:cs="Arial"/>
          <w:b/>
          <w:color w:val="auto"/>
          <w:sz w:val="24"/>
          <w:szCs w:val="24"/>
          <w:lang w:val="es-AR"/>
        </w:rPr>
        <w:lastRenderedPageBreak/>
        <w:t>Programa de aproximación al juicio por jurados y litigación adversarial</w:t>
      </w:r>
    </w:p>
    <w:p w:rsidR="002E7216" w:rsidRDefault="002E7216" w:rsidP="002E7216">
      <w:pPr>
        <w:jc w:val="center"/>
        <w:rPr>
          <w:rFonts w:eastAsia="Times New Roman"/>
          <w:b/>
          <w:color w:val="auto"/>
          <w:sz w:val="24"/>
          <w:szCs w:val="24"/>
          <w:u w:val="single"/>
          <w:bdr w:val="none" w:sz="0" w:space="0" w:color="auto"/>
          <w:lang w:val="es-AR" w:bidi="en-US"/>
        </w:rPr>
      </w:pPr>
    </w:p>
    <w:p w:rsidR="008A10ED" w:rsidRPr="00663403" w:rsidRDefault="00FD3B86" w:rsidP="00663403">
      <w:pPr>
        <w:rPr>
          <w:sz w:val="24"/>
          <w:szCs w:val="24"/>
        </w:rPr>
      </w:pPr>
      <w:r w:rsidRPr="00663403">
        <w:rPr>
          <w:rFonts w:eastAsia="Times New Roman"/>
          <w:b/>
          <w:color w:val="auto"/>
          <w:sz w:val="24"/>
          <w:szCs w:val="24"/>
          <w:u w:val="single"/>
          <w:bdr w:val="none" w:sz="0" w:space="0" w:color="auto"/>
          <w:lang w:val="es-AR" w:bidi="en-US"/>
        </w:rPr>
        <w:t>Dirección</w:t>
      </w:r>
      <w:r w:rsidR="002E7216">
        <w:rPr>
          <w:rFonts w:eastAsia="Times New Roman"/>
          <w:b/>
          <w:color w:val="auto"/>
          <w:sz w:val="24"/>
          <w:szCs w:val="24"/>
          <w:u w:val="single"/>
          <w:bdr w:val="none" w:sz="0" w:space="0" w:color="auto"/>
          <w:lang w:val="es-AR" w:bidi="en-US"/>
        </w:rPr>
        <w:t xml:space="preserve"> Académica</w:t>
      </w:r>
      <w:r w:rsidRPr="00663403">
        <w:rPr>
          <w:rFonts w:eastAsia="Times New Roman"/>
          <w:b/>
          <w:color w:val="auto"/>
          <w:sz w:val="24"/>
          <w:szCs w:val="24"/>
          <w:u w:val="single"/>
          <w:bdr w:val="none" w:sz="0" w:space="0" w:color="auto"/>
          <w:lang w:val="es-AR" w:bidi="en-US"/>
        </w:rPr>
        <w:t>:</w:t>
      </w:r>
      <w:r w:rsidR="008A10ED" w:rsidRPr="00663403">
        <w:rPr>
          <w:rFonts w:eastAsia="Arial Unicode MS"/>
          <w:sz w:val="24"/>
          <w:szCs w:val="24"/>
        </w:rPr>
        <w:t xml:space="preserve"> </w:t>
      </w:r>
      <w:r w:rsidR="00FD3DCE">
        <w:rPr>
          <w:rFonts w:eastAsia="Arial Unicode MS"/>
          <w:sz w:val="24"/>
          <w:szCs w:val="24"/>
        </w:rPr>
        <w:t>Francisco Pont V</w:t>
      </w:r>
      <w:r w:rsidR="00D75BB7">
        <w:rPr>
          <w:rFonts w:eastAsia="Arial Unicode MS"/>
          <w:sz w:val="24"/>
          <w:szCs w:val="24"/>
        </w:rPr>
        <w:t>ergés</w:t>
      </w:r>
    </w:p>
    <w:p w:rsidR="008979DE" w:rsidRPr="00663403" w:rsidRDefault="00FD3B86" w:rsidP="00663403">
      <w:pPr>
        <w:rPr>
          <w:sz w:val="24"/>
          <w:szCs w:val="24"/>
        </w:rPr>
      </w:pPr>
      <w:r w:rsidRPr="00663403">
        <w:rPr>
          <w:rFonts w:eastAsia="Times New Roman"/>
          <w:b/>
          <w:color w:val="auto"/>
          <w:sz w:val="24"/>
          <w:szCs w:val="24"/>
          <w:u w:val="single"/>
          <w:bdr w:val="none" w:sz="0" w:space="0" w:color="auto"/>
          <w:lang w:val="es-AR" w:bidi="en-US"/>
        </w:rPr>
        <w:t>Fecha:</w:t>
      </w:r>
      <w:r w:rsidR="00974FE8" w:rsidRPr="00663403">
        <w:rPr>
          <w:rFonts w:eastAsia="Arial Unicode MS"/>
          <w:sz w:val="24"/>
          <w:szCs w:val="24"/>
        </w:rPr>
        <w:t xml:space="preserve"> </w:t>
      </w:r>
      <w:r w:rsidR="006958E6">
        <w:rPr>
          <w:rFonts w:eastAsia="Arial Unicode MS"/>
          <w:sz w:val="24"/>
          <w:szCs w:val="24"/>
        </w:rPr>
        <w:t>4 al 6 de septiembre.</w:t>
      </w:r>
    </w:p>
    <w:p w:rsidR="008979DE" w:rsidRDefault="00124197" w:rsidP="00663403">
      <w:pPr>
        <w:rPr>
          <w:rFonts w:eastAsia="Arial Unicode MS"/>
          <w:sz w:val="24"/>
          <w:szCs w:val="24"/>
        </w:rPr>
      </w:pPr>
      <w:r w:rsidRPr="00663403">
        <w:rPr>
          <w:rFonts w:eastAsia="Times New Roman"/>
          <w:b/>
          <w:color w:val="auto"/>
          <w:sz w:val="24"/>
          <w:szCs w:val="24"/>
          <w:u w:val="single"/>
          <w:bdr w:val="none" w:sz="0" w:space="0" w:color="auto"/>
          <w:lang w:val="es-AR" w:bidi="en-US"/>
        </w:rPr>
        <w:t>Duración:</w:t>
      </w:r>
      <w:r w:rsidRPr="00663403">
        <w:rPr>
          <w:rFonts w:eastAsia="Arial Unicode MS"/>
          <w:sz w:val="24"/>
          <w:szCs w:val="24"/>
        </w:rPr>
        <w:t xml:space="preserve"> </w:t>
      </w:r>
      <w:r w:rsidR="00D75BB7">
        <w:rPr>
          <w:rFonts w:eastAsia="Arial Unicode MS"/>
          <w:sz w:val="24"/>
          <w:szCs w:val="24"/>
        </w:rPr>
        <w:t>20</w:t>
      </w:r>
      <w:r w:rsidR="00763BAC">
        <w:rPr>
          <w:rFonts w:eastAsia="Arial Unicode MS"/>
          <w:sz w:val="24"/>
          <w:szCs w:val="24"/>
        </w:rPr>
        <w:t xml:space="preserve"> </w:t>
      </w:r>
      <w:r w:rsidR="002E7216">
        <w:rPr>
          <w:rFonts w:eastAsia="Arial Unicode MS"/>
          <w:sz w:val="24"/>
          <w:szCs w:val="24"/>
        </w:rPr>
        <w:t>horas</w:t>
      </w:r>
    </w:p>
    <w:p w:rsidR="00663403" w:rsidRDefault="002E7216" w:rsidP="002E7216">
      <w:pPr>
        <w:rPr>
          <w:rFonts w:eastAsia="Arial Unicode MS"/>
          <w:b/>
          <w:sz w:val="24"/>
          <w:szCs w:val="24"/>
          <w:u w:val="single"/>
        </w:rPr>
      </w:pPr>
      <w:r w:rsidRPr="002E7216">
        <w:rPr>
          <w:rFonts w:eastAsia="Arial Unicode MS"/>
          <w:b/>
          <w:sz w:val="24"/>
          <w:szCs w:val="24"/>
          <w:u w:val="single"/>
        </w:rPr>
        <w:t>Costo</w:t>
      </w:r>
      <w:r>
        <w:rPr>
          <w:rFonts w:eastAsia="Arial Unicode MS"/>
          <w:b/>
          <w:sz w:val="24"/>
          <w:szCs w:val="24"/>
          <w:u w:val="single"/>
        </w:rPr>
        <w:t xml:space="preserve">: </w:t>
      </w:r>
      <w:r w:rsidRPr="002E7216">
        <w:rPr>
          <w:rFonts w:eastAsia="Arial Unicode MS"/>
          <w:sz w:val="24"/>
          <w:szCs w:val="24"/>
        </w:rPr>
        <w:t>$15.500 Pesos</w:t>
      </w:r>
    </w:p>
    <w:p w:rsidR="002E7216" w:rsidRPr="002E7216" w:rsidRDefault="002E7216" w:rsidP="002E7216">
      <w:pPr>
        <w:rPr>
          <w:rFonts w:eastAsia="Arial Unicode MS"/>
          <w:b/>
          <w:sz w:val="24"/>
          <w:szCs w:val="24"/>
          <w:u w:val="single"/>
        </w:rPr>
      </w:pPr>
    </w:p>
    <w:p w:rsidR="00663403" w:rsidRPr="00663403" w:rsidRDefault="00663403" w:rsidP="00663403">
      <w:pPr>
        <w:spacing w:after="0"/>
        <w:ind w:left="-5"/>
        <w:rPr>
          <w:sz w:val="24"/>
          <w:szCs w:val="24"/>
          <w:lang w:val="es-AR"/>
        </w:rPr>
      </w:pPr>
      <w:r w:rsidRPr="00663403">
        <w:rPr>
          <w:rFonts w:eastAsia="Times New Roman"/>
          <w:b/>
          <w:sz w:val="24"/>
          <w:szCs w:val="24"/>
          <w:lang w:val="es-AR"/>
        </w:rPr>
        <w:t>Objetivo:</w:t>
      </w:r>
      <w:r w:rsidRPr="00663403">
        <w:rPr>
          <w:sz w:val="24"/>
          <w:szCs w:val="24"/>
          <w:lang w:val="es-AR"/>
        </w:rPr>
        <w:t xml:space="preserve"> </w:t>
      </w:r>
    </w:p>
    <w:p w:rsidR="00663403" w:rsidRPr="00663403" w:rsidRDefault="00663403" w:rsidP="002E7216">
      <w:pPr>
        <w:rPr>
          <w:sz w:val="24"/>
          <w:szCs w:val="24"/>
          <w:lang w:val="es-AR"/>
        </w:rPr>
      </w:pPr>
      <w:r w:rsidRPr="00663403">
        <w:rPr>
          <w:sz w:val="24"/>
          <w:szCs w:val="24"/>
          <w:lang w:val="es-AR"/>
        </w:rPr>
        <w:t xml:space="preserve">Dotar al cursante de los conocimientos esenciales sobre el juicio por jurados, vinculándolo con la litigación adversarial que es donde se puede aprehender cabalmente su dinámica, así como el significado de sus institutos característicos.  </w:t>
      </w:r>
    </w:p>
    <w:p w:rsidR="00663403" w:rsidRPr="00663403" w:rsidRDefault="00495402" w:rsidP="00663403">
      <w:pPr>
        <w:rPr>
          <w:sz w:val="24"/>
          <w:szCs w:val="24"/>
          <w:lang w:val="es-AR"/>
        </w:rPr>
      </w:pPr>
      <w:r w:rsidRPr="00495402">
        <w:rPr>
          <w:sz w:val="24"/>
          <w:szCs w:val="24"/>
          <w:lang w:val="es-AR"/>
        </w:rPr>
        <w:t>El curso presencial</w:t>
      </w:r>
      <w:r>
        <w:rPr>
          <w:sz w:val="24"/>
          <w:szCs w:val="24"/>
          <w:lang w:val="es-AR"/>
        </w:rPr>
        <w:t xml:space="preserve"> </w:t>
      </w:r>
      <w:r w:rsidR="002E7216">
        <w:rPr>
          <w:sz w:val="24"/>
          <w:szCs w:val="24"/>
          <w:lang w:val="es-AR"/>
        </w:rPr>
        <w:t>y demanda</w:t>
      </w:r>
      <w:r w:rsidR="00663403" w:rsidRPr="00663403">
        <w:rPr>
          <w:sz w:val="24"/>
          <w:szCs w:val="24"/>
          <w:lang w:val="es-AR"/>
        </w:rPr>
        <w:t xml:space="preserve"> tres días de curso y actividades.  </w:t>
      </w:r>
    </w:p>
    <w:p w:rsidR="00663403" w:rsidRPr="00663403" w:rsidRDefault="00663403" w:rsidP="00663403">
      <w:pPr>
        <w:rPr>
          <w:sz w:val="24"/>
          <w:szCs w:val="24"/>
          <w:lang w:val="es-AR"/>
        </w:rPr>
      </w:pPr>
      <w:r w:rsidRPr="00663403">
        <w:rPr>
          <w:sz w:val="24"/>
          <w:szCs w:val="24"/>
          <w:lang w:val="es-AR"/>
        </w:rPr>
        <w:t xml:space="preserve">En esta etapa se revisarán los contenidos tratados en la plataforma virtual. Se aplicarán al estudio de casos y se ensayarán simulaciones de distintas situaciones para ser resueltas por las partes desde la estrategia y por el juez en base al derecho y los principios que rigen este proceso.  </w:t>
      </w:r>
    </w:p>
    <w:p w:rsidR="00495402" w:rsidRDefault="00663403" w:rsidP="00495402">
      <w:pPr>
        <w:spacing w:after="0"/>
        <w:rPr>
          <w:sz w:val="24"/>
          <w:szCs w:val="24"/>
          <w:lang w:val="es-AR"/>
        </w:rPr>
      </w:pPr>
      <w:r w:rsidRPr="00663403">
        <w:rPr>
          <w:sz w:val="24"/>
          <w:szCs w:val="24"/>
          <w:lang w:val="es-AR"/>
        </w:rPr>
        <w:t xml:space="preserve"> </w:t>
      </w:r>
    </w:p>
    <w:p w:rsidR="00663403" w:rsidRPr="00663403" w:rsidRDefault="00495402" w:rsidP="00495402">
      <w:pPr>
        <w:spacing w:after="0"/>
        <w:rPr>
          <w:sz w:val="24"/>
          <w:szCs w:val="24"/>
          <w:lang w:val="es-AR"/>
        </w:rPr>
      </w:pPr>
      <w:r>
        <w:rPr>
          <w:rFonts w:eastAsia="Times New Roman"/>
          <w:b/>
          <w:sz w:val="24"/>
          <w:szCs w:val="24"/>
          <w:lang w:val="es-AR"/>
        </w:rPr>
        <w:t xml:space="preserve"> L</w:t>
      </w:r>
      <w:r w:rsidR="00663403" w:rsidRPr="00663403">
        <w:rPr>
          <w:rFonts w:eastAsia="Times New Roman"/>
          <w:b/>
          <w:sz w:val="24"/>
          <w:szCs w:val="24"/>
          <w:lang w:val="es-AR"/>
        </w:rPr>
        <w:t>os temas a abordar son:</w:t>
      </w:r>
      <w:r w:rsidR="00663403" w:rsidRPr="00663403">
        <w:rPr>
          <w:sz w:val="24"/>
          <w:szCs w:val="24"/>
          <w:lang w:val="es-AR"/>
        </w:rPr>
        <w:t xml:space="preserve">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Principios que rigen el juicio por jurados.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La participación popular y su impacto en la estructura del proceso penal.  </w:t>
      </w:r>
    </w:p>
    <w:p w:rsidR="00663403" w:rsidRPr="00663403" w:rsidRDefault="00663403" w:rsidP="00663403">
      <w:pPr>
        <w:pStyle w:val="Prrafodelista"/>
        <w:numPr>
          <w:ilvl w:val="0"/>
          <w:numId w:val="22"/>
        </w:numPr>
        <w:rPr>
          <w:sz w:val="24"/>
          <w:szCs w:val="24"/>
          <w:lang w:val="es-AR"/>
        </w:rPr>
      </w:pPr>
      <w:r w:rsidRPr="00663403">
        <w:rPr>
          <w:sz w:val="24"/>
          <w:szCs w:val="24"/>
          <w:lang w:val="es-AR"/>
        </w:rPr>
        <w:t>La imparcialidad</w:t>
      </w:r>
    </w:p>
    <w:p w:rsidR="00663403" w:rsidRPr="00663403" w:rsidRDefault="00663403" w:rsidP="00663403">
      <w:pPr>
        <w:pStyle w:val="Prrafodelista"/>
        <w:numPr>
          <w:ilvl w:val="0"/>
          <w:numId w:val="22"/>
        </w:numPr>
        <w:rPr>
          <w:sz w:val="24"/>
          <w:szCs w:val="24"/>
          <w:lang w:val="es-AR"/>
        </w:rPr>
      </w:pPr>
      <w:r w:rsidRPr="00663403">
        <w:rPr>
          <w:sz w:val="24"/>
          <w:szCs w:val="24"/>
          <w:lang w:val="es-AR"/>
        </w:rPr>
        <w:t>La duda razonable</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La nueva función del juez.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Hechos y derecho. </w:t>
      </w:r>
    </w:p>
    <w:p w:rsidR="00663403" w:rsidRPr="00663403" w:rsidRDefault="00663403" w:rsidP="00663403">
      <w:pPr>
        <w:ind w:left="791"/>
        <w:rPr>
          <w:sz w:val="24"/>
          <w:szCs w:val="24"/>
          <w:lang w:val="es-AR"/>
        </w:rPr>
      </w:pPr>
      <w:r w:rsidRPr="00663403">
        <w:rPr>
          <w:rFonts w:eastAsia="MS Gothic"/>
          <w:sz w:val="24"/>
          <w:szCs w:val="24"/>
          <w:lang w:val="es-AR"/>
        </w:rPr>
        <w:t xml:space="preserve">◦ </w:t>
      </w:r>
      <w:r w:rsidRPr="00663403">
        <w:rPr>
          <w:sz w:val="24"/>
          <w:szCs w:val="24"/>
          <w:lang w:val="es-AR"/>
        </w:rPr>
        <w:t xml:space="preserve">Reglas de evidencia.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rPr>
      </w:pPr>
      <w:r w:rsidRPr="00663403">
        <w:rPr>
          <w:sz w:val="24"/>
          <w:szCs w:val="24"/>
        </w:rPr>
        <w:t xml:space="preserve">Teoría del caso.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Los pasos del juicio por jurados.  </w:t>
      </w:r>
    </w:p>
    <w:p w:rsidR="00663403" w:rsidRPr="00663403" w:rsidRDefault="00663403" w:rsidP="00663403">
      <w:pPr>
        <w:ind w:left="791"/>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Audiencia de prueba.  </w:t>
      </w:r>
    </w:p>
    <w:p w:rsidR="00663403" w:rsidRPr="00663403" w:rsidRDefault="00663403" w:rsidP="00663403">
      <w:pPr>
        <w:ind w:left="791" w:right="6278"/>
        <w:rPr>
          <w:sz w:val="24"/>
          <w:szCs w:val="24"/>
          <w:lang w:val="es-AR"/>
        </w:rPr>
      </w:pPr>
      <w:r w:rsidRPr="00663403">
        <w:rPr>
          <w:rFonts w:eastAsia="MS Gothic"/>
          <w:sz w:val="24"/>
          <w:szCs w:val="24"/>
          <w:lang w:val="es-AR"/>
        </w:rPr>
        <w:t xml:space="preserve">◦ </w:t>
      </w:r>
      <w:r w:rsidRPr="00663403">
        <w:rPr>
          <w:sz w:val="24"/>
          <w:szCs w:val="24"/>
          <w:lang w:val="es-AR"/>
        </w:rPr>
        <w:t>Selección de Jurados</w:t>
      </w:r>
    </w:p>
    <w:p w:rsidR="00663403" w:rsidRPr="00663403" w:rsidRDefault="00663403" w:rsidP="00663403">
      <w:pPr>
        <w:ind w:left="791" w:right="6278"/>
        <w:rPr>
          <w:sz w:val="24"/>
          <w:szCs w:val="24"/>
        </w:rPr>
      </w:pPr>
      <w:r w:rsidRPr="00663403">
        <w:rPr>
          <w:rFonts w:eastAsia="MS Gothic"/>
          <w:sz w:val="24"/>
          <w:szCs w:val="24"/>
        </w:rPr>
        <w:t xml:space="preserve">◦ </w:t>
      </w:r>
      <w:r w:rsidRPr="00663403">
        <w:rPr>
          <w:sz w:val="24"/>
          <w:szCs w:val="24"/>
        </w:rPr>
        <w:t xml:space="preserve">El debate  </w:t>
      </w:r>
    </w:p>
    <w:p w:rsidR="00663403" w:rsidRPr="00663403" w:rsidRDefault="00663403" w:rsidP="00663403">
      <w:pPr>
        <w:ind w:left="791"/>
        <w:rPr>
          <w:sz w:val="24"/>
          <w:szCs w:val="24"/>
        </w:rPr>
      </w:pPr>
      <w:r w:rsidRPr="00663403">
        <w:rPr>
          <w:rFonts w:eastAsia="MS Gothic"/>
          <w:sz w:val="24"/>
          <w:szCs w:val="24"/>
        </w:rPr>
        <w:t xml:space="preserve">◦ </w:t>
      </w:r>
      <w:r w:rsidRPr="00663403">
        <w:rPr>
          <w:sz w:val="24"/>
          <w:szCs w:val="24"/>
        </w:rPr>
        <w:t xml:space="preserve">Instrucciones.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El dictado de la sentencia.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La impugnación del veredicto de culpabilidad o de no culpabilidad por inimputabilidad.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Metodología</w:t>
      </w:r>
      <w:r w:rsidRPr="00663403">
        <w:rPr>
          <w:sz w:val="24"/>
          <w:szCs w:val="24"/>
          <w:lang w:val="es-AR"/>
        </w:rPr>
        <w:t xml:space="preserve"> </w:t>
      </w:r>
    </w:p>
    <w:p w:rsidR="00663403" w:rsidRDefault="00663403" w:rsidP="00663403">
      <w:pPr>
        <w:spacing w:after="2"/>
        <w:ind w:right="129"/>
        <w:rPr>
          <w:sz w:val="24"/>
          <w:szCs w:val="24"/>
          <w:lang w:val="es-AR"/>
        </w:rPr>
      </w:pPr>
      <w:r w:rsidRPr="00663403">
        <w:rPr>
          <w:sz w:val="24"/>
          <w:szCs w:val="24"/>
          <w:lang w:val="es-AR"/>
        </w:rPr>
        <w:t xml:space="preserve">En los tres días habrá trabajo en talleres y simulaciones en base a situaciones que se presentaron en juicio reales Objetivos:  </w:t>
      </w:r>
    </w:p>
    <w:p w:rsidR="00495402" w:rsidRPr="00663403" w:rsidRDefault="00495402" w:rsidP="00663403">
      <w:pPr>
        <w:spacing w:after="2"/>
        <w:ind w:right="129"/>
        <w:rPr>
          <w:sz w:val="24"/>
          <w:szCs w:val="24"/>
          <w:lang w:val="es-AR"/>
        </w:rPr>
      </w:pP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Familiarizarse con las técnicas expuestas y la mirada estratégica del litigio.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Identificar las preguntas esenciales que no pueden quedar fuera en función de las teorías del caso respectivas. </w:t>
      </w:r>
    </w:p>
    <w:p w:rsidR="00663403" w:rsidRPr="00663403" w:rsidRDefault="00663403" w:rsidP="0066340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3"/>
        <w:ind w:left="780" w:hanging="360"/>
        <w:rPr>
          <w:sz w:val="24"/>
          <w:szCs w:val="24"/>
          <w:lang w:val="es-AR"/>
        </w:rPr>
      </w:pPr>
      <w:r w:rsidRPr="00663403">
        <w:rPr>
          <w:sz w:val="24"/>
          <w:szCs w:val="24"/>
          <w:lang w:val="es-AR"/>
        </w:rPr>
        <w:t xml:space="preserve">Identificar situaciones que merezcan la intervención de la contraparte en el control de la producción de la prueba.  </w:t>
      </w:r>
    </w:p>
    <w:p w:rsidR="00663403" w:rsidRPr="00663403" w:rsidRDefault="00663403" w:rsidP="00663403">
      <w:pPr>
        <w:rPr>
          <w:sz w:val="24"/>
          <w:szCs w:val="24"/>
          <w:lang w:val="es-AR"/>
        </w:rPr>
      </w:pPr>
      <w:r w:rsidRPr="00663403">
        <w:rPr>
          <w:sz w:val="24"/>
          <w:szCs w:val="24"/>
          <w:lang w:val="es-AR"/>
        </w:rPr>
        <w:t xml:space="preserve">Cada tema comienza con una explicación teórica que refresca y aclara lo que se vio en el módulo virtual y se continúa con la exposición del caso sobre el que luego se llevan a cabo las simulaciones correspondientes.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Primer día.</w:t>
      </w:r>
      <w:r w:rsidRPr="00663403">
        <w:rPr>
          <w:sz w:val="24"/>
          <w:szCs w:val="24"/>
          <w:lang w:val="es-AR"/>
        </w:rPr>
        <w:t xml:space="preserve"> </w:t>
      </w:r>
      <w:r w:rsidRPr="00663403">
        <w:rPr>
          <w:rFonts w:eastAsia="Times New Roman"/>
          <w:i/>
          <w:sz w:val="24"/>
          <w:szCs w:val="24"/>
          <w:lang w:val="es-AR"/>
        </w:rPr>
        <w:t xml:space="preserve"> </w:t>
      </w:r>
    </w:p>
    <w:p w:rsidR="00663403" w:rsidRPr="00663403" w:rsidRDefault="00663403" w:rsidP="00663403">
      <w:pPr>
        <w:spacing w:after="1"/>
        <w:ind w:left="-5"/>
        <w:rPr>
          <w:sz w:val="24"/>
          <w:szCs w:val="24"/>
          <w:lang w:val="es-AR"/>
        </w:rPr>
      </w:pPr>
      <w:r w:rsidRPr="00663403">
        <w:rPr>
          <w:rFonts w:eastAsia="Times New Roman"/>
          <w:i/>
          <w:sz w:val="24"/>
          <w:szCs w:val="24"/>
          <w:lang w:val="es-AR"/>
        </w:rPr>
        <w:t>Mañana.</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 teoría del caso y el litigio estratégico.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Evaluación de casos para llevar a juicio.  </w:t>
      </w:r>
    </w:p>
    <w:p w:rsidR="00663403" w:rsidRPr="00663403" w:rsidRDefault="00663403" w:rsidP="00663403">
      <w:pPr>
        <w:ind w:left="1426" w:hanging="360"/>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Decisiones sobre hechos y prueba: la elección de las circunstancias fácticas que conformarán la teoría del caso en función de la prueba razonablemente disponible.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Audiencia/s preliminar/es.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necesidad de circunscribir la prueba a los hechos del caso.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Necesidad de trabajar sobre teorías del caso reveladas.  </w:t>
      </w:r>
    </w:p>
    <w:p w:rsidR="00663403" w:rsidRPr="00663403" w:rsidRDefault="00663403" w:rsidP="00663403">
      <w:pPr>
        <w:spacing w:after="2"/>
        <w:ind w:left="1436" w:hanging="370"/>
        <w:rPr>
          <w:sz w:val="24"/>
          <w:szCs w:val="24"/>
          <w:lang w:val="es-AR"/>
        </w:rPr>
      </w:pPr>
      <w:r w:rsidRPr="00663403">
        <w:rPr>
          <w:rFonts w:eastAsia="MS Gothic"/>
          <w:sz w:val="24"/>
          <w:szCs w:val="24"/>
          <w:lang w:val="es-AR"/>
        </w:rPr>
        <w:t xml:space="preserve">▪ </w:t>
      </w:r>
      <w:r w:rsidRPr="00663403">
        <w:rPr>
          <w:sz w:val="24"/>
          <w:szCs w:val="24"/>
          <w:lang w:val="es-AR"/>
        </w:rPr>
        <w:t xml:space="preserve">Admisibilidad de la prueba. Trabajar sobre reglas de evidencia que se sobreentienden en el sistema de juicio por jurados. Las reglas de la relevancia y el prejuicio. Las exclusiones probatorias.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Estipulaciones como emergentes de la estrategia del litigio y la simplificación de la tarea del jurado. </w:t>
      </w:r>
    </w:p>
    <w:p w:rsidR="00663403" w:rsidRPr="00663403" w:rsidRDefault="00663403" w:rsidP="00663403">
      <w:pPr>
        <w:ind w:left="731"/>
        <w:rPr>
          <w:sz w:val="24"/>
          <w:szCs w:val="24"/>
          <w:lang w:val="es-AR"/>
        </w:rPr>
      </w:pPr>
      <w:r w:rsidRPr="00663403">
        <w:rPr>
          <w:sz w:val="24"/>
          <w:szCs w:val="24"/>
          <w:lang w:val="es-AR"/>
        </w:rPr>
        <w:t>Talleres de simulaciones y resolución de incidentes particulares.</w:t>
      </w:r>
      <w:r w:rsidRPr="00663403">
        <w:rPr>
          <w:rFonts w:eastAsia="Times New Roman"/>
          <w:i/>
          <w:sz w:val="24"/>
          <w:szCs w:val="24"/>
          <w:lang w:val="es-AR"/>
        </w:rPr>
        <w:t xml:space="preserve"> </w:t>
      </w:r>
    </w:p>
    <w:p w:rsidR="00663403" w:rsidRPr="00663403" w:rsidRDefault="00663403" w:rsidP="00663403">
      <w:pPr>
        <w:spacing w:after="1"/>
        <w:ind w:left="-5"/>
        <w:rPr>
          <w:sz w:val="24"/>
          <w:szCs w:val="24"/>
          <w:lang w:val="es-AR"/>
        </w:rPr>
      </w:pPr>
      <w:r w:rsidRPr="00663403">
        <w:rPr>
          <w:rFonts w:eastAsia="Times New Roman"/>
          <w:i/>
          <w:sz w:val="24"/>
          <w:szCs w:val="24"/>
          <w:lang w:val="es-AR"/>
        </w:rPr>
        <w:t xml:space="preserve">Tarde: </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Audiencia de selección de jurados.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La necesidad de discutir la estrategia y el marco de las preguntas en la audiencia. Cuestiones prohibidas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Cuestionarios previos.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Desarrollo de la audiencia. Modelos posibles. El manejo del tiempo.  </w:t>
      </w:r>
    </w:p>
    <w:p w:rsidR="00663403" w:rsidRPr="00663403" w:rsidRDefault="00663403" w:rsidP="00663403">
      <w:pPr>
        <w:rPr>
          <w:sz w:val="24"/>
          <w:szCs w:val="24"/>
          <w:lang w:val="es-AR"/>
        </w:rPr>
      </w:pPr>
      <w:r w:rsidRPr="00663403">
        <w:rPr>
          <w:sz w:val="24"/>
          <w:szCs w:val="24"/>
          <w:lang w:val="es-AR"/>
        </w:rPr>
        <w:t xml:space="preserve">Taller de selección con rondas de preguntas a hipotéticos candidatos. Resolución del juez. Fundamentación, reposición y reservas.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Segundo día: técnicas de litigación para juicio por jurados.</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Alegatos de apertura y limites a lo que se puede decir y no.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Lenguaje para el común de la gente.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Fijar hechos de una manera sencilla y abarcativa por probables repercusiones en el proceso de determinación de la pena.  </w:t>
      </w:r>
    </w:p>
    <w:p w:rsidR="00663403" w:rsidRPr="00663403" w:rsidRDefault="00663403" w:rsidP="00663403">
      <w:pPr>
        <w:ind w:left="731"/>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Las reglas de evidencia como marco legal para la producción de la prueba en el debate.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Interrogatorio directo.  </w:t>
      </w:r>
    </w:p>
    <w:p w:rsidR="00663403" w:rsidRPr="00663403" w:rsidRDefault="00663403" w:rsidP="00663403">
      <w:pPr>
        <w:ind w:left="1076" w:right="5071"/>
        <w:rPr>
          <w:sz w:val="24"/>
          <w:szCs w:val="24"/>
          <w:lang w:val="es-AR"/>
        </w:rPr>
      </w:pPr>
      <w:r w:rsidRPr="00663403">
        <w:rPr>
          <w:rFonts w:eastAsia="MS Gothic"/>
          <w:sz w:val="24"/>
          <w:szCs w:val="24"/>
          <w:lang w:val="es-AR"/>
        </w:rPr>
        <w:t xml:space="preserve">▪ </w:t>
      </w:r>
      <w:r w:rsidRPr="00663403">
        <w:rPr>
          <w:sz w:val="24"/>
          <w:szCs w:val="24"/>
          <w:lang w:val="es-AR"/>
        </w:rPr>
        <w:t xml:space="preserve">Técnica de la pregunta abierta. </w:t>
      </w:r>
    </w:p>
    <w:p w:rsidR="00663403" w:rsidRPr="00663403" w:rsidRDefault="00663403" w:rsidP="00663403">
      <w:pPr>
        <w:ind w:left="1076" w:right="5071"/>
        <w:rPr>
          <w:sz w:val="24"/>
          <w:szCs w:val="24"/>
          <w:lang w:val="es-AR"/>
        </w:rPr>
      </w:pPr>
      <w:r w:rsidRPr="00663403">
        <w:rPr>
          <w:sz w:val="24"/>
          <w:szCs w:val="24"/>
          <w:lang w:val="es-AR"/>
        </w:rPr>
        <w:t xml:space="preserve"> </w:t>
      </w:r>
      <w:r w:rsidRPr="00663403">
        <w:rPr>
          <w:rFonts w:eastAsia="MS Gothic"/>
          <w:sz w:val="24"/>
          <w:szCs w:val="24"/>
          <w:lang w:val="es-AR"/>
        </w:rPr>
        <w:t xml:space="preserve">▪ </w:t>
      </w:r>
      <w:r w:rsidRPr="00663403">
        <w:rPr>
          <w:sz w:val="24"/>
          <w:szCs w:val="24"/>
          <w:lang w:val="es-AR"/>
        </w:rPr>
        <w:t xml:space="preserve">Testimonios de peritos.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Uso de prueba demostrativa.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Introducción de prueba material y documental.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El uso de las declaraciones previas.  </w:t>
      </w:r>
    </w:p>
    <w:p w:rsidR="00663403" w:rsidRPr="00663403" w:rsidRDefault="00663403" w:rsidP="00663403">
      <w:pPr>
        <w:ind w:left="1081" w:hanging="360"/>
        <w:rPr>
          <w:sz w:val="24"/>
          <w:szCs w:val="24"/>
          <w:lang w:val="es-AR"/>
        </w:rPr>
      </w:pPr>
      <w:r w:rsidRPr="00663403">
        <w:rPr>
          <w:rFonts w:eastAsia="MS Gothic"/>
          <w:sz w:val="24"/>
          <w:szCs w:val="24"/>
          <w:lang w:val="es-AR"/>
        </w:rPr>
        <w:t xml:space="preserve">◦ </w:t>
      </w:r>
      <w:r w:rsidRPr="00663403">
        <w:rPr>
          <w:sz w:val="24"/>
          <w:szCs w:val="24"/>
          <w:lang w:val="es-AR"/>
        </w:rPr>
        <w:t xml:space="preserve">El contrainterrogatorio como técnica para poner a prueba al testigo y mantener el control de las respuestas.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Las objeciones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Las preguntas prohibidas.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Técnica.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objeción en los alegatos.  </w:t>
      </w:r>
    </w:p>
    <w:p w:rsidR="00663403" w:rsidRPr="00663403" w:rsidRDefault="00663403" w:rsidP="00663403">
      <w:pPr>
        <w:rPr>
          <w:sz w:val="24"/>
          <w:szCs w:val="24"/>
          <w:lang w:val="es-AR"/>
        </w:rPr>
      </w:pPr>
      <w:r w:rsidRPr="00663403">
        <w:rPr>
          <w:sz w:val="24"/>
          <w:szCs w:val="24"/>
          <w:lang w:val="es-AR"/>
        </w:rPr>
        <w:t xml:space="preserve">Al término de cada módulo se realizarán talleres de simulación y al final del día se harán talleres para aplicar las técnicas aprehendidas, todas juntas.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ind w:left="-5"/>
        <w:rPr>
          <w:sz w:val="24"/>
          <w:szCs w:val="24"/>
          <w:lang w:val="es-AR"/>
        </w:rPr>
      </w:pPr>
      <w:r w:rsidRPr="00663403">
        <w:rPr>
          <w:rFonts w:eastAsia="Times New Roman"/>
          <w:b/>
          <w:sz w:val="24"/>
          <w:szCs w:val="24"/>
          <w:lang w:val="es-AR"/>
        </w:rPr>
        <w:t>Tercer día.</w:t>
      </w: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Alegato de cierre.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Importancia de diferenciar su método en función del proceso por jurados.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Límites en punto a los temas a tratar. Los no y los sí. Derecho y prueba.  </w:t>
      </w:r>
    </w:p>
    <w:p w:rsidR="00663403" w:rsidRPr="00663403" w:rsidRDefault="00663403" w:rsidP="00663403">
      <w:pPr>
        <w:ind w:left="1426" w:hanging="360"/>
        <w:rPr>
          <w:sz w:val="24"/>
          <w:szCs w:val="24"/>
          <w:lang w:val="es-AR"/>
        </w:rPr>
      </w:pPr>
      <w:r w:rsidRPr="00663403">
        <w:rPr>
          <w:rFonts w:eastAsia="MS Gothic"/>
          <w:sz w:val="24"/>
          <w:szCs w:val="24"/>
          <w:lang w:val="es-AR"/>
        </w:rPr>
        <w:lastRenderedPageBreak/>
        <w:t xml:space="preserve">▪ </w:t>
      </w:r>
      <w:r w:rsidRPr="00663403">
        <w:rPr>
          <w:sz w:val="24"/>
          <w:szCs w:val="24"/>
          <w:lang w:val="es-AR"/>
        </w:rPr>
        <w:t xml:space="preserve">Detectar temas cruciales y de impacto y plantearlos de forma sencilla y enfática. Captar la atención del jurado.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Elaboración de instrucciones: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Exigencias para cada momento. Iniciales. Durante el proceso. Finales. El rol del juez como director del debate y quien explica el derecho al jurado.  </w:t>
      </w:r>
    </w:p>
    <w:p w:rsidR="00663403" w:rsidRPr="00663403" w:rsidRDefault="00663403" w:rsidP="00663403">
      <w:pPr>
        <w:ind w:left="1426" w:hanging="360"/>
        <w:rPr>
          <w:sz w:val="24"/>
          <w:szCs w:val="24"/>
          <w:lang w:val="es-AR"/>
        </w:rPr>
      </w:pPr>
      <w:r w:rsidRPr="00663403">
        <w:rPr>
          <w:rFonts w:eastAsia="MS Gothic"/>
          <w:sz w:val="24"/>
          <w:szCs w:val="24"/>
          <w:lang w:val="es-AR"/>
        </w:rPr>
        <w:t xml:space="preserve">▪ </w:t>
      </w:r>
      <w:r w:rsidRPr="00663403">
        <w:rPr>
          <w:sz w:val="24"/>
          <w:szCs w:val="24"/>
          <w:lang w:val="es-AR"/>
        </w:rPr>
        <w:t xml:space="preserve">Necesidad de ir formándolas desde que se traza la estrategia para el juicio. El rol del juez.  </w:t>
      </w:r>
    </w:p>
    <w:p w:rsidR="00663403" w:rsidRPr="00663403" w:rsidRDefault="00663403" w:rsidP="00663403">
      <w:pPr>
        <w:spacing w:after="2"/>
        <w:ind w:left="1436" w:hanging="370"/>
        <w:rPr>
          <w:sz w:val="24"/>
          <w:szCs w:val="24"/>
          <w:lang w:val="es-AR"/>
        </w:rPr>
      </w:pPr>
      <w:r w:rsidRPr="00663403">
        <w:rPr>
          <w:rFonts w:eastAsia="MS Gothic"/>
          <w:sz w:val="24"/>
          <w:szCs w:val="24"/>
          <w:lang w:val="es-AR"/>
        </w:rPr>
        <w:t xml:space="preserve">▪ </w:t>
      </w:r>
      <w:r w:rsidRPr="00663403">
        <w:rPr>
          <w:sz w:val="24"/>
          <w:szCs w:val="24"/>
          <w:lang w:val="es-AR"/>
        </w:rPr>
        <w:t xml:space="preserve">Audiencia de elaboración de instrucciones.  La discusión del derecho aplicable al caso. Su trascedencia para la cesura del juicio y el recurso contra el veredicto de culpabilidad.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El veredicto.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Posibilidades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El carácter individual del veredicto.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Jurado Estancado y Secuestro del jurado. </w:t>
      </w:r>
    </w:p>
    <w:p w:rsidR="00663403" w:rsidRPr="00663403" w:rsidRDefault="00663403" w:rsidP="00663403">
      <w:pPr>
        <w:ind w:left="731"/>
        <w:rPr>
          <w:sz w:val="24"/>
          <w:szCs w:val="24"/>
          <w:lang w:val="es-AR"/>
        </w:rPr>
      </w:pPr>
      <w:r w:rsidRPr="00663403">
        <w:rPr>
          <w:rFonts w:eastAsia="MS Gothic"/>
          <w:sz w:val="24"/>
          <w:szCs w:val="24"/>
          <w:lang w:val="es-AR"/>
        </w:rPr>
        <w:t xml:space="preserve">◦ </w:t>
      </w:r>
      <w:r w:rsidRPr="00663403">
        <w:rPr>
          <w:sz w:val="24"/>
          <w:szCs w:val="24"/>
          <w:lang w:val="es-AR"/>
        </w:rPr>
        <w:t xml:space="preserve">La audiencia de cesura de juicio.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Discusión sobre la pena. Atenuantes y agravantes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Los contornos fácticos que sostienen las pautas de ponderación de la prueba.  </w:t>
      </w:r>
    </w:p>
    <w:p w:rsidR="00663403" w:rsidRPr="00663403" w:rsidRDefault="00663403" w:rsidP="00663403">
      <w:pPr>
        <w:ind w:left="1076"/>
        <w:rPr>
          <w:sz w:val="24"/>
          <w:szCs w:val="24"/>
          <w:lang w:val="es-AR"/>
        </w:rPr>
      </w:pPr>
      <w:r w:rsidRPr="00663403">
        <w:rPr>
          <w:rFonts w:eastAsia="MS Gothic"/>
          <w:sz w:val="24"/>
          <w:szCs w:val="24"/>
          <w:lang w:val="es-AR"/>
        </w:rPr>
        <w:t xml:space="preserve">▪ </w:t>
      </w:r>
      <w:r w:rsidRPr="00663403">
        <w:rPr>
          <w:sz w:val="24"/>
          <w:szCs w:val="24"/>
          <w:lang w:val="es-AR"/>
        </w:rPr>
        <w:t xml:space="preserve">La calificación legal. Límites y margen de apreciación residual.  </w:t>
      </w:r>
    </w:p>
    <w:p w:rsidR="00663403" w:rsidRPr="00663403" w:rsidRDefault="00663403" w:rsidP="00663403">
      <w:pPr>
        <w:ind w:left="1076"/>
        <w:rPr>
          <w:sz w:val="24"/>
          <w:szCs w:val="24"/>
          <w:lang w:val="es-AR"/>
        </w:rPr>
      </w:pPr>
    </w:p>
    <w:p w:rsidR="00663403" w:rsidRPr="00663403" w:rsidRDefault="00663403" w:rsidP="00663403">
      <w:pPr>
        <w:pStyle w:val="Ttulo2"/>
        <w:spacing w:line="360" w:lineRule="auto"/>
        <w:rPr>
          <w:rFonts w:ascii="Arial" w:hAnsi="Arial" w:cs="Arial"/>
          <w:b/>
          <w:color w:val="auto"/>
          <w:lang w:val="es-AR"/>
        </w:rPr>
      </w:pPr>
      <w:r w:rsidRPr="00663403">
        <w:rPr>
          <w:rFonts w:ascii="Arial" w:hAnsi="Arial" w:cs="Arial"/>
          <w:b/>
          <w:color w:val="auto"/>
          <w:lang w:val="es-AR"/>
        </w:rPr>
        <w:t>Lugar, días y horarios</w:t>
      </w:r>
    </w:p>
    <w:p w:rsidR="00663403" w:rsidRPr="00663403" w:rsidRDefault="00663403" w:rsidP="00663403">
      <w:pPr>
        <w:rPr>
          <w:sz w:val="24"/>
          <w:szCs w:val="24"/>
          <w:lang w:val="es-AR"/>
        </w:rPr>
      </w:pPr>
      <w:r w:rsidRPr="00663403">
        <w:rPr>
          <w:rFonts w:eastAsia="Arial Unicode MS"/>
          <w:sz w:val="24"/>
          <w:szCs w:val="24"/>
          <w:lang w:val="es-AR"/>
        </w:rPr>
        <w:t xml:space="preserve">Las clases se dictan en el Salón de la Junta Federal de Cortes y Superiores Tribunales de Justicia de las Provincias Argentinas y Ciudad Autónoma de Buenos Aires – JUFEJUS -, sito en Leandro N. Alem 1074, 2° piso, Ciudad </w:t>
      </w:r>
      <w:r w:rsidRPr="00663403">
        <w:rPr>
          <w:rFonts w:eastAsia="Arial Unicode MS"/>
          <w:sz w:val="24"/>
          <w:szCs w:val="24"/>
          <w:lang w:val="es-AR"/>
        </w:rPr>
        <w:lastRenderedPageBreak/>
        <w:t xml:space="preserve">Autónoma Buenos Aires, durante </w:t>
      </w:r>
      <w:r w:rsidR="00D75BB7">
        <w:rPr>
          <w:rFonts w:eastAsia="Arial Unicode MS"/>
          <w:sz w:val="24"/>
          <w:szCs w:val="24"/>
          <w:lang w:val="es-AR"/>
        </w:rPr>
        <w:t>tres</w:t>
      </w:r>
      <w:r w:rsidRPr="00663403">
        <w:rPr>
          <w:rFonts w:eastAsia="Arial Unicode MS"/>
          <w:sz w:val="24"/>
          <w:szCs w:val="24"/>
          <w:lang w:val="es-AR"/>
        </w:rPr>
        <w:t xml:space="preserve"> encuentros de </w:t>
      </w:r>
      <w:r w:rsidR="00D75BB7">
        <w:rPr>
          <w:rFonts w:eastAsia="Arial Unicode MS"/>
          <w:sz w:val="24"/>
          <w:szCs w:val="24"/>
          <w:lang w:val="es-AR"/>
        </w:rPr>
        <w:t>miércoles a viernes</w:t>
      </w:r>
      <w:r w:rsidRPr="00663403">
        <w:rPr>
          <w:rFonts w:eastAsia="Arial Unicode MS"/>
          <w:sz w:val="24"/>
          <w:szCs w:val="24"/>
          <w:lang w:val="es-AR"/>
        </w:rPr>
        <w:t xml:space="preserve"> </w:t>
      </w:r>
      <w:r w:rsidR="00D75BB7">
        <w:rPr>
          <w:rFonts w:eastAsia="Arial Unicode MS"/>
          <w:sz w:val="24"/>
          <w:szCs w:val="24"/>
          <w:lang w:val="es-AR"/>
        </w:rPr>
        <w:t>(</w:t>
      </w:r>
      <w:r w:rsidR="006958E6">
        <w:rPr>
          <w:rFonts w:eastAsia="Arial Unicode MS"/>
          <w:sz w:val="24"/>
          <w:szCs w:val="24"/>
          <w:lang w:val="es-AR"/>
        </w:rPr>
        <w:t>4 al 6 de septiembre</w:t>
      </w:r>
      <w:r w:rsidR="00D75BB7">
        <w:rPr>
          <w:rFonts w:eastAsia="Arial Unicode MS"/>
          <w:sz w:val="24"/>
          <w:szCs w:val="24"/>
          <w:lang w:val="es-AR"/>
        </w:rPr>
        <w:t xml:space="preserve">), </w:t>
      </w:r>
      <w:r w:rsidRPr="00663403">
        <w:rPr>
          <w:rFonts w:eastAsia="Arial Unicode MS"/>
          <w:sz w:val="24"/>
          <w:szCs w:val="24"/>
          <w:lang w:val="es-AR"/>
        </w:rPr>
        <w:t xml:space="preserve">en el horario comprendido entre las </w:t>
      </w:r>
      <w:r w:rsidRPr="00D75BB7">
        <w:rPr>
          <w:rFonts w:eastAsia="Arial Unicode MS"/>
          <w:sz w:val="24"/>
          <w:szCs w:val="24"/>
          <w:lang w:val="es-AR"/>
        </w:rPr>
        <w:t>09:00 y las 17:00</w:t>
      </w:r>
      <w:r w:rsidRPr="00663403">
        <w:rPr>
          <w:rFonts w:eastAsia="Arial Unicode MS"/>
          <w:sz w:val="24"/>
          <w:szCs w:val="24"/>
          <w:lang w:val="es-AR"/>
        </w:rPr>
        <w:t xml:space="preserve"> horas.</w:t>
      </w:r>
    </w:p>
    <w:p w:rsidR="00663403" w:rsidRPr="00663403" w:rsidRDefault="00663403" w:rsidP="00663403">
      <w:pPr>
        <w:pStyle w:val="Ttulo2"/>
        <w:spacing w:line="360" w:lineRule="auto"/>
        <w:rPr>
          <w:rFonts w:ascii="Arial" w:hAnsi="Arial" w:cs="Arial"/>
          <w:b/>
          <w:lang w:val="es-AR"/>
        </w:rPr>
      </w:pPr>
    </w:p>
    <w:p w:rsidR="00663403" w:rsidRPr="00663403" w:rsidRDefault="00663403" w:rsidP="00663403">
      <w:pPr>
        <w:pStyle w:val="Ttulo2"/>
        <w:spacing w:line="360" w:lineRule="auto"/>
        <w:rPr>
          <w:rFonts w:ascii="Arial" w:hAnsi="Arial" w:cs="Arial"/>
          <w:b/>
          <w:color w:val="000000" w:themeColor="text1"/>
          <w:lang w:val="es-AR"/>
        </w:rPr>
      </w:pPr>
      <w:r w:rsidRPr="00663403">
        <w:rPr>
          <w:rFonts w:ascii="Arial" w:hAnsi="Arial" w:cs="Arial"/>
          <w:b/>
          <w:color w:val="000000" w:themeColor="text1"/>
          <w:lang w:val="es-AR"/>
        </w:rPr>
        <w:t>Costo</w:t>
      </w:r>
    </w:p>
    <w:p w:rsidR="00663403" w:rsidRPr="00663403" w:rsidRDefault="00663403" w:rsidP="00663403">
      <w:pPr>
        <w:rPr>
          <w:sz w:val="24"/>
          <w:szCs w:val="24"/>
          <w:lang w:val="es-AR"/>
        </w:rPr>
      </w:pPr>
      <w:r w:rsidRPr="00663403">
        <w:rPr>
          <w:rFonts w:eastAsia="Arial Unicode MS"/>
          <w:sz w:val="24"/>
          <w:szCs w:val="24"/>
          <w:lang w:val="es-AR"/>
        </w:rPr>
        <w:t>El Programa tiene un costo  de $</w:t>
      </w:r>
      <w:r w:rsidRPr="00D75BB7">
        <w:rPr>
          <w:rFonts w:eastAsia="Arial Unicode MS"/>
          <w:sz w:val="24"/>
          <w:szCs w:val="24"/>
          <w:lang w:val="es-AR"/>
        </w:rPr>
        <w:t>15.500</w:t>
      </w:r>
      <w:r w:rsidRPr="00663403">
        <w:rPr>
          <w:rFonts w:eastAsia="Arial Unicode MS"/>
          <w:sz w:val="24"/>
          <w:szCs w:val="24"/>
          <w:lang w:val="es-AR"/>
        </w:rPr>
        <w:t xml:space="preserve"> pesos argentinos, o su equivalente en dólares estadounidenses.  Tanto los costos de pasajes así como los de alojamiento, están a cargo de cada participante. </w:t>
      </w:r>
    </w:p>
    <w:p w:rsidR="00663403" w:rsidRPr="00663403" w:rsidRDefault="00663403" w:rsidP="00663403">
      <w:pPr>
        <w:rPr>
          <w:sz w:val="24"/>
          <w:szCs w:val="24"/>
          <w:lang w:val="es-AR"/>
        </w:rPr>
      </w:pPr>
      <w:r w:rsidRPr="00663403">
        <w:rPr>
          <w:rFonts w:eastAsia="Arial Unicode MS"/>
          <w:sz w:val="24"/>
          <w:szCs w:val="24"/>
          <w:lang w:val="es-AR"/>
        </w:rPr>
        <w:t xml:space="preserve">Consultar por becas y medias becas.  Las mismas se otorgan en función del cupo, teniendo en cuenta la totalidad de alumnos que se inscriben en los cursos y las posibilidades de los mismos para efectuar réplicas y actividades que promuevan el fortalecimiento de los sistemas acusatorios en su país o jurisdicción.  </w:t>
      </w:r>
    </w:p>
    <w:p w:rsidR="00663403" w:rsidRPr="00663403" w:rsidRDefault="00663403" w:rsidP="00663403">
      <w:pPr>
        <w:rPr>
          <w:sz w:val="24"/>
          <w:szCs w:val="24"/>
          <w:lang w:val="es-AR"/>
        </w:rPr>
      </w:pPr>
      <w:r w:rsidRPr="00663403">
        <w:rPr>
          <w:rFonts w:eastAsia="Arial Unicode MS"/>
          <w:sz w:val="24"/>
          <w:szCs w:val="24"/>
          <w:lang w:val="es-AR"/>
        </w:rPr>
        <w:t>En este sentido solicitamos se adjunte a la consulta los antecedentes curriculares y una breve reseña de los proyectos que el postulante podría impulsar desde su ámbito laboral o académico.</w:t>
      </w:r>
    </w:p>
    <w:p w:rsidR="00663403" w:rsidRPr="00663403" w:rsidRDefault="00663403" w:rsidP="00663403">
      <w:pPr>
        <w:pStyle w:val="Ttulo2"/>
        <w:spacing w:line="360" w:lineRule="auto"/>
        <w:rPr>
          <w:rFonts w:ascii="Arial" w:hAnsi="Arial" w:cs="Arial"/>
          <w:b/>
          <w:color w:val="000000" w:themeColor="text1"/>
          <w:lang w:val="es-AR"/>
        </w:rPr>
      </w:pPr>
      <w:r w:rsidRPr="00663403">
        <w:rPr>
          <w:rFonts w:ascii="Arial" w:hAnsi="Arial" w:cs="Arial"/>
          <w:b/>
          <w:color w:val="000000" w:themeColor="text1"/>
          <w:lang w:val="es-AR"/>
        </w:rPr>
        <w:t>Inscripción</w:t>
      </w:r>
    </w:p>
    <w:p w:rsidR="00663403" w:rsidRPr="00663403" w:rsidRDefault="00663403" w:rsidP="00663403">
      <w:pPr>
        <w:rPr>
          <w:sz w:val="24"/>
          <w:szCs w:val="24"/>
          <w:lang w:val="es-AR"/>
        </w:rPr>
      </w:pPr>
      <w:r w:rsidRPr="00663403">
        <w:rPr>
          <w:sz w:val="24"/>
          <w:szCs w:val="24"/>
          <w:lang w:val="es-AR"/>
        </w:rPr>
        <w:t>Los interesados  podrán realizar consultas telefónicas  comunicándose al 1564675914 y deberán inscribirse enviando un mail a inscripcioncursos@unidosjusticia.org con los siguientes datos:</w:t>
      </w:r>
    </w:p>
    <w:p w:rsidR="00663403" w:rsidRPr="00663403" w:rsidRDefault="00663403" w:rsidP="00663403">
      <w:pPr>
        <w:rPr>
          <w:sz w:val="24"/>
          <w:szCs w:val="24"/>
          <w:lang w:val="es-AR"/>
        </w:rPr>
      </w:pPr>
      <w:r w:rsidRPr="00663403">
        <w:rPr>
          <w:rFonts w:eastAsia="Arial Unicode MS"/>
          <w:sz w:val="24"/>
          <w:szCs w:val="24"/>
          <w:lang w:val="es-AR"/>
        </w:rPr>
        <w:t>Nombre (s)</w:t>
      </w:r>
    </w:p>
    <w:p w:rsidR="00663403" w:rsidRPr="00663403" w:rsidRDefault="00663403" w:rsidP="00663403">
      <w:pPr>
        <w:rPr>
          <w:sz w:val="24"/>
          <w:szCs w:val="24"/>
          <w:lang w:val="es-AR"/>
        </w:rPr>
      </w:pPr>
      <w:r w:rsidRPr="00663403">
        <w:rPr>
          <w:rFonts w:eastAsia="Arial Unicode MS"/>
          <w:sz w:val="24"/>
          <w:szCs w:val="24"/>
          <w:lang w:val="es-AR"/>
        </w:rPr>
        <w:t>Apellido (s)</w:t>
      </w:r>
    </w:p>
    <w:p w:rsidR="00663403" w:rsidRPr="00663403" w:rsidRDefault="00663403" w:rsidP="00663403">
      <w:pPr>
        <w:rPr>
          <w:sz w:val="24"/>
          <w:szCs w:val="24"/>
          <w:lang w:val="es-AR"/>
        </w:rPr>
      </w:pPr>
      <w:r w:rsidRPr="00663403">
        <w:rPr>
          <w:rFonts w:eastAsia="Arial Unicode MS"/>
          <w:sz w:val="24"/>
          <w:szCs w:val="24"/>
          <w:lang w:val="es-AR"/>
        </w:rPr>
        <w:t>Sexo</w:t>
      </w:r>
    </w:p>
    <w:p w:rsidR="00663403" w:rsidRPr="00663403" w:rsidRDefault="00663403" w:rsidP="00663403">
      <w:pPr>
        <w:rPr>
          <w:sz w:val="24"/>
          <w:szCs w:val="24"/>
          <w:lang w:val="es-AR"/>
        </w:rPr>
      </w:pPr>
      <w:r w:rsidRPr="00663403">
        <w:rPr>
          <w:rFonts w:eastAsia="Arial Unicode MS"/>
          <w:sz w:val="24"/>
          <w:szCs w:val="24"/>
          <w:lang w:val="es-AR"/>
        </w:rPr>
        <w:t>Nacionalidad</w:t>
      </w:r>
    </w:p>
    <w:p w:rsidR="00663403" w:rsidRPr="00663403" w:rsidRDefault="00663403" w:rsidP="00663403">
      <w:pPr>
        <w:rPr>
          <w:sz w:val="24"/>
          <w:szCs w:val="24"/>
          <w:lang w:val="es-AR"/>
        </w:rPr>
      </w:pPr>
      <w:r w:rsidRPr="00663403">
        <w:rPr>
          <w:rFonts w:eastAsia="Arial Unicode MS"/>
          <w:sz w:val="24"/>
          <w:szCs w:val="24"/>
          <w:lang w:val="es-AR"/>
        </w:rPr>
        <w:t>País de Residencia</w:t>
      </w:r>
    </w:p>
    <w:p w:rsidR="00663403" w:rsidRPr="00663403" w:rsidRDefault="00663403" w:rsidP="00663403">
      <w:pPr>
        <w:rPr>
          <w:sz w:val="24"/>
          <w:szCs w:val="24"/>
          <w:lang w:val="es-AR"/>
        </w:rPr>
      </w:pPr>
      <w:r w:rsidRPr="00663403">
        <w:rPr>
          <w:rFonts w:eastAsia="Arial Unicode MS"/>
          <w:sz w:val="24"/>
          <w:szCs w:val="24"/>
          <w:lang w:val="es-AR"/>
        </w:rPr>
        <w:t>Ciudad de Residencia</w:t>
      </w:r>
    </w:p>
    <w:p w:rsidR="00663403" w:rsidRPr="00663403" w:rsidRDefault="00663403" w:rsidP="00663403">
      <w:pPr>
        <w:rPr>
          <w:sz w:val="24"/>
          <w:szCs w:val="24"/>
          <w:lang w:val="es-AR"/>
        </w:rPr>
      </w:pPr>
      <w:r w:rsidRPr="00663403">
        <w:rPr>
          <w:rFonts w:eastAsia="Arial Unicode MS"/>
          <w:sz w:val="24"/>
          <w:szCs w:val="24"/>
          <w:lang w:val="es-AR"/>
        </w:rPr>
        <w:t>Domicilio</w:t>
      </w:r>
    </w:p>
    <w:p w:rsidR="00663403" w:rsidRPr="00663403" w:rsidRDefault="00663403" w:rsidP="00663403">
      <w:pPr>
        <w:rPr>
          <w:sz w:val="24"/>
          <w:szCs w:val="24"/>
          <w:lang w:val="es-AR"/>
        </w:rPr>
      </w:pPr>
      <w:r w:rsidRPr="00663403">
        <w:rPr>
          <w:rFonts w:eastAsia="Arial Unicode MS"/>
          <w:sz w:val="24"/>
          <w:szCs w:val="24"/>
          <w:lang w:val="es-AR"/>
        </w:rPr>
        <w:lastRenderedPageBreak/>
        <w:t>Teléfono</w:t>
      </w:r>
    </w:p>
    <w:p w:rsidR="00663403" w:rsidRPr="00663403" w:rsidRDefault="00663403" w:rsidP="00663403">
      <w:pPr>
        <w:rPr>
          <w:sz w:val="24"/>
          <w:szCs w:val="24"/>
          <w:lang w:val="es-AR"/>
        </w:rPr>
      </w:pPr>
      <w:r w:rsidRPr="00663403">
        <w:rPr>
          <w:rFonts w:eastAsia="Arial Unicode MS"/>
          <w:sz w:val="24"/>
          <w:szCs w:val="24"/>
          <w:lang w:val="es-AR"/>
        </w:rPr>
        <w:t>Celular</w:t>
      </w:r>
    </w:p>
    <w:p w:rsidR="00663403" w:rsidRPr="00663403" w:rsidRDefault="00663403" w:rsidP="00663403">
      <w:pPr>
        <w:rPr>
          <w:sz w:val="24"/>
          <w:szCs w:val="24"/>
          <w:lang w:val="es-AR"/>
        </w:rPr>
      </w:pPr>
      <w:r w:rsidRPr="00663403">
        <w:rPr>
          <w:rFonts w:eastAsia="Arial Unicode MS"/>
          <w:sz w:val="24"/>
          <w:szCs w:val="24"/>
          <w:lang w:val="es-AR"/>
        </w:rPr>
        <w:t>Correo electrónico</w:t>
      </w:r>
    </w:p>
    <w:p w:rsidR="00663403" w:rsidRPr="00663403" w:rsidRDefault="00663403" w:rsidP="00663403">
      <w:pPr>
        <w:rPr>
          <w:sz w:val="24"/>
          <w:szCs w:val="24"/>
          <w:lang w:val="es-AR"/>
        </w:rPr>
      </w:pPr>
      <w:r w:rsidRPr="00663403">
        <w:rPr>
          <w:rFonts w:eastAsia="Arial Unicode MS"/>
          <w:sz w:val="24"/>
          <w:szCs w:val="24"/>
          <w:lang w:val="es-AR"/>
        </w:rPr>
        <w:t>Profesión</w:t>
      </w:r>
    </w:p>
    <w:p w:rsidR="00663403" w:rsidRPr="00663403" w:rsidRDefault="00663403" w:rsidP="00663403">
      <w:pPr>
        <w:rPr>
          <w:sz w:val="24"/>
          <w:szCs w:val="24"/>
        </w:rPr>
      </w:pPr>
      <w:r w:rsidRPr="00663403">
        <w:rPr>
          <w:rFonts w:eastAsia="Arial Unicode MS"/>
          <w:sz w:val="24"/>
          <w:szCs w:val="24"/>
        </w:rPr>
        <w:t>Institución</w:t>
      </w:r>
    </w:p>
    <w:p w:rsidR="00663403" w:rsidRPr="00663403" w:rsidRDefault="00663403" w:rsidP="00663403">
      <w:pPr>
        <w:rPr>
          <w:sz w:val="24"/>
          <w:szCs w:val="24"/>
        </w:rPr>
      </w:pPr>
      <w:r w:rsidRPr="00663403">
        <w:rPr>
          <w:rFonts w:eastAsia="Arial Unicode MS"/>
          <w:sz w:val="24"/>
          <w:szCs w:val="24"/>
        </w:rPr>
        <w:t>Cargo</w:t>
      </w:r>
    </w:p>
    <w:p w:rsidR="00663403" w:rsidRPr="00663403" w:rsidRDefault="00663403" w:rsidP="00663403">
      <w:pPr>
        <w:ind w:left="1076"/>
        <w:rPr>
          <w:sz w:val="24"/>
          <w:szCs w:val="24"/>
          <w:lang w:val="es-AR"/>
        </w:rPr>
      </w:pP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spacing w:after="0"/>
        <w:rPr>
          <w:sz w:val="24"/>
          <w:szCs w:val="24"/>
          <w:lang w:val="es-AR"/>
        </w:rPr>
      </w:pPr>
      <w:r w:rsidRPr="00663403">
        <w:rPr>
          <w:sz w:val="24"/>
          <w:szCs w:val="24"/>
          <w:lang w:val="es-AR"/>
        </w:rPr>
        <w:t xml:space="preserve"> </w:t>
      </w:r>
    </w:p>
    <w:p w:rsidR="00663403" w:rsidRPr="00663403" w:rsidRDefault="00663403" w:rsidP="00663403">
      <w:pPr>
        <w:rPr>
          <w:sz w:val="24"/>
          <w:szCs w:val="24"/>
        </w:rPr>
      </w:pPr>
    </w:p>
    <w:sectPr w:rsidR="00663403" w:rsidRPr="00663403" w:rsidSect="00717A8C">
      <w:headerReference w:type="default" r:id="rId9"/>
      <w:footerReference w:type="default" r:id="rId10"/>
      <w:headerReference w:type="first" r:id="rId11"/>
      <w:pgSz w:w="11900" w:h="16840"/>
      <w:pgMar w:top="1418" w:right="170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3A" w:rsidRDefault="00B5383A">
      <w:pPr>
        <w:spacing w:after="0" w:line="240" w:lineRule="auto"/>
      </w:pPr>
      <w:r>
        <w:separator/>
      </w:r>
    </w:p>
  </w:endnote>
  <w:endnote w:type="continuationSeparator" w:id="0">
    <w:p w:rsidR="00B5383A" w:rsidRDefault="00B5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717A8C">
    <w:pPr>
      <w:pStyle w:val="Piedepgina"/>
      <w:tabs>
        <w:tab w:val="clear" w:pos="8640"/>
        <w:tab w:val="right" w:pos="8478"/>
      </w:tabs>
      <w:jc w:val="right"/>
    </w:pPr>
    <w:r>
      <w:fldChar w:fldCharType="begin"/>
    </w:r>
    <w:r w:rsidR="00FD3B86">
      <w:instrText xml:space="preserve"> PAGE </w:instrText>
    </w:r>
    <w:r>
      <w:fldChar w:fldCharType="separate"/>
    </w:r>
    <w:r w:rsidR="008C41C8">
      <w:rPr>
        <w:noProof/>
      </w:rPr>
      <w:t>8</w:t>
    </w:r>
    <w:r>
      <w:fldChar w:fldCharType="end"/>
    </w:r>
  </w:p>
  <w:p w:rsidR="008979DE" w:rsidRDefault="008979DE">
    <w:pPr>
      <w:pStyle w:val="Piedepgina"/>
      <w:tabs>
        <w:tab w:val="right" w:pos="9360"/>
      </w:tabs>
      <w:spacing w:after="0" w:line="240" w:lineRule="auto"/>
      <w:jc w:val="center"/>
      <w:rPr>
        <w:color w:val="333333"/>
        <w:sz w:val="16"/>
        <w:szCs w:val="16"/>
        <w:u w:color="333333"/>
      </w:rPr>
    </w:pPr>
  </w:p>
  <w:p w:rsidR="008979DE" w:rsidRDefault="008979DE">
    <w:pPr>
      <w:pStyle w:val="Piedepgina"/>
      <w:tabs>
        <w:tab w:val="right" w:pos="9360"/>
      </w:tabs>
      <w:spacing w:after="0" w:line="240" w:lineRule="auto"/>
      <w:jc w:val="center"/>
      <w:rPr>
        <w:color w:val="333333"/>
        <w:sz w:val="16"/>
        <w:szCs w:val="16"/>
        <w:u w:color="333333"/>
      </w:rPr>
    </w:pPr>
  </w:p>
  <w:p w:rsidR="008979DE" w:rsidRDefault="00FD3B86">
    <w:pPr>
      <w:pStyle w:val="Piedepgina"/>
      <w:tabs>
        <w:tab w:val="right" w:pos="9360"/>
      </w:tabs>
      <w:spacing w:after="0" w:line="240" w:lineRule="auto"/>
      <w:jc w:val="center"/>
      <w:rPr>
        <w:color w:val="333333"/>
        <w:sz w:val="16"/>
        <w:szCs w:val="16"/>
        <w:u w:color="333333"/>
      </w:rPr>
    </w:pPr>
    <w:r>
      <w:rPr>
        <w:color w:val="333333"/>
        <w:sz w:val="16"/>
        <w:szCs w:val="16"/>
        <w:u w:color="333333"/>
      </w:rPr>
      <w:t xml:space="preserve">Unidos por la Justicia Asociación Civil | Paraguay 435, 3ro 38 | Buenos Aires – ARGENTINA | C1057AAC </w:t>
    </w:r>
  </w:p>
  <w:p w:rsidR="008979DE" w:rsidRPr="00F66A7A" w:rsidRDefault="00FD3B86">
    <w:pPr>
      <w:pStyle w:val="Piedepgina"/>
      <w:tabs>
        <w:tab w:val="right" w:pos="9360"/>
      </w:tabs>
      <w:spacing w:after="0" w:line="240" w:lineRule="auto"/>
      <w:jc w:val="center"/>
      <w:rPr>
        <w:lang w:val="en-US"/>
      </w:rPr>
    </w:pPr>
    <w:r>
      <w:rPr>
        <w:color w:val="333333"/>
        <w:sz w:val="16"/>
        <w:szCs w:val="16"/>
        <w:u w:color="333333"/>
        <w:lang w:val="pt-PT"/>
      </w:rPr>
      <w:t xml:space="preserve">Tel. (54-11) 4516-0158 | E-mail: </w:t>
    </w:r>
    <w:hyperlink r:id="rId1" w:history="1">
      <w:r>
        <w:rPr>
          <w:rStyle w:val="Hyperlink0"/>
        </w:rPr>
        <w:t>info@unidosjusticia.org.ar</w:t>
      </w:r>
    </w:hyperlink>
    <w:r>
      <w:rPr>
        <w:color w:val="333333"/>
        <w:sz w:val="16"/>
        <w:szCs w:val="16"/>
        <w:u w:color="333333"/>
        <w:lang w:val="pt-PT"/>
      </w:rPr>
      <w:t xml:space="preserve"> | Web: </w:t>
    </w:r>
    <w:hyperlink r:id="rId2" w:history="1">
      <w:r>
        <w:rPr>
          <w:rStyle w:val="Hyperlink0"/>
        </w:rPr>
        <w:t>www.unidosjusticia.org.ar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3A" w:rsidRDefault="00B5383A">
      <w:pPr>
        <w:spacing w:after="0" w:line="240" w:lineRule="auto"/>
      </w:pPr>
      <w:r>
        <w:separator/>
      </w:r>
    </w:p>
  </w:footnote>
  <w:footnote w:type="continuationSeparator" w:id="0">
    <w:p w:rsidR="00B5383A" w:rsidRDefault="00B5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Encabezado"/>
      <w:jc w:val="right"/>
    </w:pPr>
    <w:r>
      <w:rPr>
        <w:noProof/>
        <w:lang w:val="es-AR"/>
      </w:rPr>
      <w:drawing>
        <wp:inline distT="0" distB="0" distL="0" distR="0" wp14:anchorId="1BFDF387" wp14:editId="787443AD">
          <wp:extent cx="1412748" cy="4855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ok4.png"/>
                  <pic:cNvPicPr/>
                </pic:nvPicPr>
                <pic:blipFill>
                  <a:blip r:embed="rId1">
                    <a:extLst/>
                  </a:blip>
                  <a:stretch>
                    <a:fillRect/>
                  </a:stretch>
                </pic:blipFill>
                <pic:spPr>
                  <a:xfrm>
                    <a:off x="0" y="0"/>
                    <a:ext cx="1412748" cy="485547"/>
                  </a:xfrm>
                  <a:prstGeom prst="rect">
                    <a:avLst/>
                  </a:prstGeom>
                  <a:ln w="12700" cap="flat">
                    <a:noFill/>
                    <a:miter lim="400000"/>
                  </a:ln>
                  <a:effectLst/>
                </pic:spPr>
              </pic:pic>
            </a:graphicData>
          </a:graphic>
        </wp:inline>
      </w:drawing>
    </w:r>
    <w:r>
      <w:t xml:space="preserve">                                                          </w:t>
    </w:r>
    <w:r>
      <w:rPr>
        <w:i/>
        <w:iCs/>
        <w:sz w:val="16"/>
        <w:szCs w:val="16"/>
      </w:rPr>
      <w:t>Programa de Capacitaci</w:t>
    </w:r>
    <w:r>
      <w:rPr>
        <w:rFonts w:hAnsi="Arial"/>
        <w:i/>
        <w:iCs/>
        <w:sz w:val="16"/>
        <w:szCs w:val="16"/>
      </w:rPr>
      <w:t>ó</w:t>
    </w:r>
    <w:r>
      <w:rPr>
        <w:i/>
        <w:iCs/>
        <w:sz w:val="16"/>
        <w:szCs w:val="16"/>
      </w:rPr>
      <w:t xml:space="preserve">n </w:t>
    </w:r>
    <w:r w:rsidR="008A10ED">
      <w:rPr>
        <w:i/>
        <w:iCs/>
        <w:sz w:val="16"/>
        <w:szCs w:val="16"/>
      </w:rPr>
      <w:t xml:space="preserve">sobre </w:t>
    </w:r>
    <w:r w:rsidR="00663403">
      <w:rPr>
        <w:i/>
        <w:iCs/>
        <w:sz w:val="16"/>
        <w:szCs w:val="16"/>
      </w:rPr>
      <w:t>Aproximaci</w:t>
    </w:r>
    <w:r w:rsidR="00663403">
      <w:rPr>
        <w:i/>
        <w:iCs/>
        <w:sz w:val="16"/>
        <w:szCs w:val="16"/>
      </w:rPr>
      <w:t>ó</w:t>
    </w:r>
    <w:r w:rsidR="00663403">
      <w:rPr>
        <w:i/>
        <w:iCs/>
        <w:sz w:val="16"/>
        <w:szCs w:val="16"/>
      </w:rPr>
      <w:t>n al Juicio por Jurados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DE" w:rsidRDefault="00FD3B86">
    <w:pPr>
      <w:pStyle w:val="Encabezado"/>
      <w:tabs>
        <w:tab w:val="clear" w:pos="8640"/>
        <w:tab w:val="right" w:pos="8478"/>
      </w:tabs>
    </w:pPr>
    <w:r>
      <w:rPr>
        <w:noProof/>
        <w:lang w:val="es-AR"/>
      </w:rPr>
      <w:drawing>
        <wp:inline distT="0" distB="0" distL="0" distR="0">
          <wp:extent cx="2161642" cy="7434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ok4.png"/>
                  <pic:cNvPicPr/>
                </pic:nvPicPr>
                <pic:blipFill>
                  <a:blip r:embed="rId1">
                    <a:extLst/>
                  </a:blip>
                  <a:stretch>
                    <a:fillRect/>
                  </a:stretch>
                </pic:blipFill>
                <pic:spPr>
                  <a:xfrm>
                    <a:off x="0" y="0"/>
                    <a:ext cx="2161642" cy="7434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32"/>
    <w:multiLevelType w:val="multilevel"/>
    <w:tmpl w:val="D3504650"/>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 w15:restartNumberingAfterBreak="0">
    <w:nsid w:val="06F210EF"/>
    <w:multiLevelType w:val="multilevel"/>
    <w:tmpl w:val="91D40B1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2" w15:restartNumberingAfterBreak="0">
    <w:nsid w:val="0A855275"/>
    <w:multiLevelType w:val="multilevel"/>
    <w:tmpl w:val="39C822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7F227D"/>
    <w:multiLevelType w:val="multilevel"/>
    <w:tmpl w:val="9FA4D312"/>
    <w:lvl w:ilvl="0">
      <w:start w:val="1"/>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4" w15:restartNumberingAfterBreak="0">
    <w:nsid w:val="10F0792A"/>
    <w:multiLevelType w:val="hybridMultilevel"/>
    <w:tmpl w:val="B4E2B3C2"/>
    <w:lvl w:ilvl="0" w:tplc="D062F858">
      <w:start w:val="1"/>
      <w:numFmt w:val="bullet"/>
      <w:lvlText w:val="o"/>
      <w:lvlJc w:val="left"/>
      <w:pPr>
        <w:ind w:left="1352" w:hanging="360"/>
      </w:pPr>
      <w:rPr>
        <w:rFonts w:ascii="Courier New" w:hAnsi="Courier New" w:cs="Courier New" w:hint="default"/>
        <w:sz w:val="20"/>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5" w15:restartNumberingAfterBreak="0">
    <w:nsid w:val="1ABB3A83"/>
    <w:multiLevelType w:val="multilevel"/>
    <w:tmpl w:val="E5C8AD42"/>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6" w15:restartNumberingAfterBreak="0">
    <w:nsid w:val="1F5D7A90"/>
    <w:multiLevelType w:val="multilevel"/>
    <w:tmpl w:val="4CB066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2A54EEC"/>
    <w:multiLevelType w:val="hybridMultilevel"/>
    <w:tmpl w:val="0BF4E020"/>
    <w:lvl w:ilvl="0" w:tplc="D9204916">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AEF6E">
      <w:start w:val="1"/>
      <w:numFmt w:val="bullet"/>
      <w:lvlText w:val="o"/>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0AB748">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2D98A">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C774C">
      <w:start w:val="1"/>
      <w:numFmt w:val="bullet"/>
      <w:lvlText w:val="o"/>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0F876">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0C1304">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BF86">
      <w:start w:val="1"/>
      <w:numFmt w:val="bullet"/>
      <w:lvlText w:val="o"/>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E71EC">
      <w:start w:val="1"/>
      <w:numFmt w:val="bullet"/>
      <w:lvlText w:val="▪"/>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FE6233"/>
    <w:multiLevelType w:val="multilevel"/>
    <w:tmpl w:val="1890AA56"/>
    <w:styleLink w:val="List0"/>
    <w:lvl w:ilvl="0">
      <w:numFmt w:val="bullet"/>
      <w:lvlText w:val="•"/>
      <w:lvlJc w:val="left"/>
      <w:rPr>
        <w:rFonts w:ascii="Arial" w:eastAsia="Arial" w:hAnsi="Arial" w:cs="Arial"/>
        <w:color w:val="000000"/>
        <w:position w:val="0"/>
        <w:u w:color="000000"/>
        <w:rtl w:val="0"/>
        <w:lang w:val="es-ES_tradnl"/>
      </w:rPr>
    </w:lvl>
    <w:lvl w:ilvl="1">
      <w:start w:val="1"/>
      <w:numFmt w:val="bullet"/>
      <w:lvlText w:val="o"/>
      <w:lvlJc w:val="left"/>
      <w:rPr>
        <w:rFonts w:ascii="Arial" w:eastAsia="Arial" w:hAnsi="Arial" w:cs="Arial"/>
        <w:color w:val="000000"/>
        <w:position w:val="0"/>
        <w:u w:color="000000"/>
        <w:rtl w:val="0"/>
        <w:lang w:val="es-ES_tradnl"/>
      </w:rPr>
    </w:lvl>
    <w:lvl w:ilvl="2">
      <w:start w:val="1"/>
      <w:numFmt w:val="bullet"/>
      <w:lvlText w:val="▪"/>
      <w:lvlJc w:val="left"/>
      <w:rPr>
        <w:rFonts w:ascii="Arial" w:eastAsia="Arial" w:hAnsi="Arial" w:cs="Arial"/>
        <w:color w:val="000000"/>
        <w:position w:val="0"/>
        <w:u w:color="000000"/>
        <w:rtl w:val="0"/>
        <w:lang w:val="es-ES_tradnl"/>
      </w:rPr>
    </w:lvl>
    <w:lvl w:ilvl="3">
      <w:start w:val="1"/>
      <w:numFmt w:val="bullet"/>
      <w:lvlText w:val="•"/>
      <w:lvlJc w:val="left"/>
      <w:rPr>
        <w:rFonts w:ascii="Arial" w:eastAsia="Arial" w:hAnsi="Arial" w:cs="Arial"/>
        <w:color w:val="000000"/>
        <w:position w:val="0"/>
        <w:u w:color="000000"/>
        <w:rtl w:val="0"/>
        <w:lang w:val="es-ES_tradnl"/>
      </w:rPr>
    </w:lvl>
    <w:lvl w:ilvl="4">
      <w:start w:val="1"/>
      <w:numFmt w:val="bullet"/>
      <w:lvlText w:val="o"/>
      <w:lvlJc w:val="left"/>
      <w:rPr>
        <w:rFonts w:ascii="Arial" w:eastAsia="Arial" w:hAnsi="Arial" w:cs="Arial"/>
        <w:color w:val="000000"/>
        <w:position w:val="0"/>
        <w:u w:color="000000"/>
        <w:rtl w:val="0"/>
        <w:lang w:val="es-ES_tradnl"/>
      </w:rPr>
    </w:lvl>
    <w:lvl w:ilvl="5">
      <w:start w:val="1"/>
      <w:numFmt w:val="bullet"/>
      <w:lvlText w:val="▪"/>
      <w:lvlJc w:val="left"/>
      <w:rPr>
        <w:rFonts w:ascii="Arial" w:eastAsia="Arial" w:hAnsi="Arial" w:cs="Arial"/>
        <w:color w:val="000000"/>
        <w:position w:val="0"/>
        <w:u w:color="000000"/>
        <w:rtl w:val="0"/>
        <w:lang w:val="es-ES_tradnl"/>
      </w:rPr>
    </w:lvl>
    <w:lvl w:ilvl="6">
      <w:start w:val="1"/>
      <w:numFmt w:val="bullet"/>
      <w:lvlText w:val="•"/>
      <w:lvlJc w:val="left"/>
      <w:rPr>
        <w:rFonts w:ascii="Arial" w:eastAsia="Arial" w:hAnsi="Arial" w:cs="Arial"/>
        <w:color w:val="000000"/>
        <w:position w:val="0"/>
        <w:u w:color="000000"/>
        <w:rtl w:val="0"/>
        <w:lang w:val="es-ES_tradnl"/>
      </w:rPr>
    </w:lvl>
    <w:lvl w:ilvl="7">
      <w:start w:val="1"/>
      <w:numFmt w:val="bullet"/>
      <w:lvlText w:val="o"/>
      <w:lvlJc w:val="left"/>
      <w:rPr>
        <w:rFonts w:ascii="Arial" w:eastAsia="Arial" w:hAnsi="Arial" w:cs="Arial"/>
        <w:color w:val="000000"/>
        <w:position w:val="0"/>
        <w:u w:color="000000"/>
        <w:rtl w:val="0"/>
        <w:lang w:val="es-ES_tradnl"/>
      </w:rPr>
    </w:lvl>
    <w:lvl w:ilvl="8">
      <w:start w:val="1"/>
      <w:numFmt w:val="bullet"/>
      <w:lvlText w:val="▪"/>
      <w:lvlJc w:val="left"/>
      <w:rPr>
        <w:rFonts w:ascii="Arial" w:eastAsia="Arial" w:hAnsi="Arial" w:cs="Arial"/>
        <w:color w:val="000000"/>
        <w:position w:val="0"/>
        <w:u w:color="000000"/>
        <w:rtl w:val="0"/>
        <w:lang w:val="es-ES_tradnl"/>
      </w:rPr>
    </w:lvl>
  </w:abstractNum>
  <w:abstractNum w:abstractNumId="9" w15:restartNumberingAfterBreak="0">
    <w:nsid w:val="336B59DA"/>
    <w:multiLevelType w:val="multilevel"/>
    <w:tmpl w:val="73D6785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6A21479"/>
    <w:multiLevelType w:val="multilevel"/>
    <w:tmpl w:val="476EB386"/>
    <w:styleLink w:val="Lista31"/>
    <w:lvl w:ilvl="0">
      <w:start w:val="1"/>
      <w:numFmt w:val="lowerLetter"/>
      <w:lvlText w:val="%1)"/>
      <w:lvlJc w:val="left"/>
      <w:rPr>
        <w:rFonts w:ascii="Arial" w:eastAsia="Arial" w:hAnsi="Arial" w:cs="Arial"/>
        <w:color w:val="000000"/>
        <w:position w:val="0"/>
        <w:u w:color="000000"/>
        <w:rtl w:val="0"/>
      </w:rPr>
    </w:lvl>
    <w:lvl w:ilvl="1">
      <w:start w:val="1"/>
      <w:numFmt w:val="lowerLetter"/>
      <w:lvlText w:val="%2."/>
      <w:lvlJc w:val="left"/>
      <w:rPr>
        <w:rFonts w:ascii="Arial" w:eastAsia="Arial" w:hAnsi="Arial" w:cs="Arial"/>
        <w:color w:val="000000"/>
        <w:position w:val="0"/>
        <w:u w:color="000000"/>
        <w:rtl w:val="0"/>
      </w:rPr>
    </w:lvl>
    <w:lvl w:ilvl="2">
      <w:start w:val="1"/>
      <w:numFmt w:val="lowerRoman"/>
      <w:lvlText w:val="%3."/>
      <w:lvlJc w:val="left"/>
      <w:rPr>
        <w:rFonts w:ascii="Arial" w:eastAsia="Arial" w:hAnsi="Arial" w:cs="Arial"/>
        <w:color w:val="000000"/>
        <w:position w:val="0"/>
        <w:u w:color="000000"/>
        <w:rtl w:val="0"/>
      </w:rPr>
    </w:lvl>
    <w:lvl w:ilvl="3">
      <w:start w:val="1"/>
      <w:numFmt w:val="decimal"/>
      <w:lvlText w:val="%4."/>
      <w:lvlJc w:val="left"/>
      <w:rPr>
        <w:rFonts w:ascii="Arial" w:eastAsia="Arial" w:hAnsi="Arial" w:cs="Arial"/>
        <w:color w:val="000000"/>
        <w:position w:val="0"/>
        <w:u w:color="000000"/>
        <w:rtl w:val="0"/>
      </w:rPr>
    </w:lvl>
    <w:lvl w:ilvl="4">
      <w:start w:val="1"/>
      <w:numFmt w:val="lowerLetter"/>
      <w:lvlText w:val="%5."/>
      <w:lvlJc w:val="left"/>
      <w:rPr>
        <w:rFonts w:ascii="Arial" w:eastAsia="Arial" w:hAnsi="Arial" w:cs="Arial"/>
        <w:color w:val="000000"/>
        <w:position w:val="0"/>
        <w:u w:color="000000"/>
        <w:rtl w:val="0"/>
      </w:rPr>
    </w:lvl>
    <w:lvl w:ilvl="5">
      <w:start w:val="1"/>
      <w:numFmt w:val="lowerRoman"/>
      <w:lvlText w:val="%6."/>
      <w:lvlJc w:val="left"/>
      <w:rPr>
        <w:rFonts w:ascii="Arial" w:eastAsia="Arial" w:hAnsi="Arial" w:cs="Arial"/>
        <w:color w:val="000000"/>
        <w:position w:val="0"/>
        <w:u w:color="000000"/>
        <w:rtl w:val="0"/>
      </w:rPr>
    </w:lvl>
    <w:lvl w:ilvl="6">
      <w:start w:val="1"/>
      <w:numFmt w:val="decimal"/>
      <w:lvlText w:val="%7."/>
      <w:lvlJc w:val="left"/>
      <w:rPr>
        <w:rFonts w:ascii="Arial" w:eastAsia="Arial" w:hAnsi="Arial" w:cs="Arial"/>
        <w:color w:val="000000"/>
        <w:position w:val="0"/>
        <w:u w:color="000000"/>
        <w:rtl w:val="0"/>
      </w:rPr>
    </w:lvl>
    <w:lvl w:ilvl="7">
      <w:start w:val="1"/>
      <w:numFmt w:val="lowerLetter"/>
      <w:lvlText w:val="%8."/>
      <w:lvlJc w:val="left"/>
      <w:rPr>
        <w:rFonts w:ascii="Arial" w:eastAsia="Arial" w:hAnsi="Arial" w:cs="Arial"/>
        <w:color w:val="000000"/>
        <w:position w:val="0"/>
        <w:u w:color="000000"/>
        <w:rtl w:val="0"/>
      </w:rPr>
    </w:lvl>
    <w:lvl w:ilvl="8">
      <w:start w:val="1"/>
      <w:numFmt w:val="lowerRoman"/>
      <w:lvlText w:val="%9."/>
      <w:lvlJc w:val="left"/>
      <w:rPr>
        <w:rFonts w:ascii="Arial" w:eastAsia="Arial" w:hAnsi="Arial" w:cs="Arial"/>
        <w:color w:val="000000"/>
        <w:position w:val="0"/>
        <w:u w:color="000000"/>
        <w:rtl w:val="0"/>
      </w:rPr>
    </w:lvl>
  </w:abstractNum>
  <w:abstractNum w:abstractNumId="11" w15:restartNumberingAfterBreak="0">
    <w:nsid w:val="396D53F6"/>
    <w:multiLevelType w:val="multilevel"/>
    <w:tmpl w:val="A8FA2D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DC43FAE"/>
    <w:multiLevelType w:val="multilevel"/>
    <w:tmpl w:val="5F3847FC"/>
    <w:styleLink w:val="Lista21"/>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13" w15:restartNumberingAfterBreak="0">
    <w:nsid w:val="3EAD3D09"/>
    <w:multiLevelType w:val="hybridMultilevel"/>
    <w:tmpl w:val="1FD0C518"/>
    <w:lvl w:ilvl="0" w:tplc="17C06682">
      <w:start w:val="3"/>
      <w:numFmt w:val="low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C064AC1"/>
    <w:multiLevelType w:val="hybridMultilevel"/>
    <w:tmpl w:val="EB14E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74411"/>
    <w:multiLevelType w:val="multilevel"/>
    <w:tmpl w:val="FD1CD1F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585448A8"/>
    <w:multiLevelType w:val="hybridMultilevel"/>
    <w:tmpl w:val="987AEBB0"/>
    <w:lvl w:ilvl="0" w:tplc="2B6408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27C50"/>
    <w:multiLevelType w:val="multilevel"/>
    <w:tmpl w:val="CC2A1F8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F474EF6"/>
    <w:multiLevelType w:val="hybridMultilevel"/>
    <w:tmpl w:val="BE2ADBB0"/>
    <w:lvl w:ilvl="0" w:tplc="E0F6C84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A1FF3"/>
    <w:multiLevelType w:val="multilevel"/>
    <w:tmpl w:val="B748ED86"/>
    <w:lvl w:ilvl="0">
      <w:start w:val="1"/>
      <w:numFmt w:val="lowerLetter"/>
      <w:lvlText w:val="%1)"/>
      <w:lvlJc w:val="left"/>
      <w:rPr>
        <w:rFonts w:ascii="Arial" w:eastAsia="Arial" w:hAnsi="Arial" w:cs="Arial"/>
        <w:i/>
        <w:iCs/>
        <w:color w:val="000000"/>
        <w:position w:val="0"/>
        <w:u w:color="000000"/>
        <w:rtl w:val="0"/>
      </w:rPr>
    </w:lvl>
    <w:lvl w:ilvl="1">
      <w:start w:val="1"/>
      <w:numFmt w:val="lowerLetter"/>
      <w:lvlText w:val="%2."/>
      <w:lvlJc w:val="left"/>
      <w:rPr>
        <w:rFonts w:ascii="Arial" w:eastAsia="Arial" w:hAnsi="Arial" w:cs="Arial"/>
        <w:i/>
        <w:iCs/>
        <w:color w:val="000000"/>
        <w:position w:val="0"/>
        <w:u w:color="000000"/>
        <w:rtl w:val="0"/>
      </w:rPr>
    </w:lvl>
    <w:lvl w:ilvl="2">
      <w:start w:val="1"/>
      <w:numFmt w:val="lowerRoman"/>
      <w:lvlText w:val="%3."/>
      <w:lvlJc w:val="left"/>
      <w:rPr>
        <w:rFonts w:ascii="Arial" w:eastAsia="Arial" w:hAnsi="Arial" w:cs="Arial"/>
        <w:i/>
        <w:iCs/>
        <w:color w:val="000000"/>
        <w:position w:val="0"/>
        <w:u w:color="000000"/>
        <w:rtl w:val="0"/>
      </w:rPr>
    </w:lvl>
    <w:lvl w:ilvl="3">
      <w:start w:val="1"/>
      <w:numFmt w:val="decimal"/>
      <w:lvlText w:val="%4."/>
      <w:lvlJc w:val="left"/>
      <w:rPr>
        <w:rFonts w:ascii="Arial" w:eastAsia="Arial" w:hAnsi="Arial" w:cs="Arial"/>
        <w:i/>
        <w:iCs/>
        <w:color w:val="000000"/>
        <w:position w:val="0"/>
        <w:u w:color="000000"/>
        <w:rtl w:val="0"/>
      </w:rPr>
    </w:lvl>
    <w:lvl w:ilvl="4">
      <w:start w:val="1"/>
      <w:numFmt w:val="lowerLetter"/>
      <w:lvlText w:val="%5."/>
      <w:lvlJc w:val="left"/>
      <w:rPr>
        <w:rFonts w:ascii="Arial" w:eastAsia="Arial" w:hAnsi="Arial" w:cs="Arial"/>
        <w:i/>
        <w:iCs/>
        <w:color w:val="000000"/>
        <w:position w:val="0"/>
        <w:u w:color="000000"/>
        <w:rtl w:val="0"/>
      </w:rPr>
    </w:lvl>
    <w:lvl w:ilvl="5">
      <w:start w:val="1"/>
      <w:numFmt w:val="lowerRoman"/>
      <w:lvlText w:val="%6."/>
      <w:lvlJc w:val="left"/>
      <w:rPr>
        <w:rFonts w:ascii="Arial" w:eastAsia="Arial" w:hAnsi="Arial" w:cs="Arial"/>
        <w:i/>
        <w:iCs/>
        <w:color w:val="000000"/>
        <w:position w:val="0"/>
        <w:u w:color="000000"/>
        <w:rtl w:val="0"/>
      </w:rPr>
    </w:lvl>
    <w:lvl w:ilvl="6">
      <w:start w:val="1"/>
      <w:numFmt w:val="decimal"/>
      <w:lvlText w:val="%7."/>
      <w:lvlJc w:val="left"/>
      <w:rPr>
        <w:rFonts w:ascii="Arial" w:eastAsia="Arial" w:hAnsi="Arial" w:cs="Arial"/>
        <w:i/>
        <w:iCs/>
        <w:color w:val="000000"/>
        <w:position w:val="0"/>
        <w:u w:color="000000"/>
        <w:rtl w:val="0"/>
      </w:rPr>
    </w:lvl>
    <w:lvl w:ilvl="7">
      <w:start w:val="1"/>
      <w:numFmt w:val="lowerLetter"/>
      <w:lvlText w:val="%8."/>
      <w:lvlJc w:val="left"/>
      <w:rPr>
        <w:rFonts w:ascii="Arial" w:eastAsia="Arial" w:hAnsi="Arial" w:cs="Arial"/>
        <w:i/>
        <w:iCs/>
        <w:color w:val="000000"/>
        <w:position w:val="0"/>
        <w:u w:color="000000"/>
        <w:rtl w:val="0"/>
      </w:rPr>
    </w:lvl>
    <w:lvl w:ilvl="8">
      <w:start w:val="1"/>
      <w:numFmt w:val="lowerRoman"/>
      <w:lvlText w:val="%9."/>
      <w:lvlJc w:val="left"/>
      <w:rPr>
        <w:rFonts w:ascii="Arial" w:eastAsia="Arial" w:hAnsi="Arial" w:cs="Arial"/>
        <w:i/>
        <w:iCs/>
        <w:color w:val="000000"/>
        <w:position w:val="0"/>
        <w:u w:color="000000"/>
        <w:rtl w:val="0"/>
      </w:rPr>
    </w:lvl>
  </w:abstractNum>
  <w:abstractNum w:abstractNumId="20" w15:restartNumberingAfterBreak="0">
    <w:nsid w:val="76E92A78"/>
    <w:multiLevelType w:val="hybridMultilevel"/>
    <w:tmpl w:val="AE905F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CC67FA1"/>
    <w:multiLevelType w:val="hybridMultilevel"/>
    <w:tmpl w:val="A994FF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8"/>
  </w:num>
  <w:num w:numId="6">
    <w:abstractNumId w:val="6"/>
  </w:num>
  <w:num w:numId="7">
    <w:abstractNumId w:val="11"/>
  </w:num>
  <w:num w:numId="8">
    <w:abstractNumId w:val="9"/>
  </w:num>
  <w:num w:numId="9">
    <w:abstractNumId w:val="19"/>
  </w:num>
  <w:num w:numId="10">
    <w:abstractNumId w:val="15"/>
  </w:num>
  <w:num w:numId="11">
    <w:abstractNumId w:val="12"/>
  </w:num>
  <w:num w:numId="12">
    <w:abstractNumId w:val="0"/>
  </w:num>
  <w:num w:numId="13">
    <w:abstractNumId w:val="17"/>
  </w:num>
  <w:num w:numId="14">
    <w:abstractNumId w:val="10"/>
  </w:num>
  <w:num w:numId="15">
    <w:abstractNumId w:val="13"/>
  </w:num>
  <w:num w:numId="16">
    <w:abstractNumId w:val="21"/>
  </w:num>
  <w:num w:numId="17">
    <w:abstractNumId w:val="20"/>
  </w:num>
  <w:num w:numId="18">
    <w:abstractNumId w:val="14"/>
  </w:num>
  <w:num w:numId="19">
    <w:abstractNumId w:val="16"/>
  </w:num>
  <w:num w:numId="20">
    <w:abstractNumId w:val="1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E"/>
    <w:rsid w:val="00022E23"/>
    <w:rsid w:val="000640B0"/>
    <w:rsid w:val="0007410C"/>
    <w:rsid w:val="0009221F"/>
    <w:rsid w:val="000B6355"/>
    <w:rsid w:val="00124197"/>
    <w:rsid w:val="001476AF"/>
    <w:rsid w:val="00186BE3"/>
    <w:rsid w:val="00252F88"/>
    <w:rsid w:val="002852C8"/>
    <w:rsid w:val="0029080E"/>
    <w:rsid w:val="002B7F2F"/>
    <w:rsid w:val="002E7216"/>
    <w:rsid w:val="00314380"/>
    <w:rsid w:val="00322FEA"/>
    <w:rsid w:val="00354F21"/>
    <w:rsid w:val="0036358A"/>
    <w:rsid w:val="00447072"/>
    <w:rsid w:val="004612E6"/>
    <w:rsid w:val="00493861"/>
    <w:rsid w:val="00495402"/>
    <w:rsid w:val="004F7CFE"/>
    <w:rsid w:val="0052154F"/>
    <w:rsid w:val="005525CC"/>
    <w:rsid w:val="00640F76"/>
    <w:rsid w:val="00644DBB"/>
    <w:rsid w:val="00663403"/>
    <w:rsid w:val="006958E6"/>
    <w:rsid w:val="006F0073"/>
    <w:rsid w:val="00711090"/>
    <w:rsid w:val="00717A8C"/>
    <w:rsid w:val="00736C57"/>
    <w:rsid w:val="00740370"/>
    <w:rsid w:val="00763BAC"/>
    <w:rsid w:val="00803E43"/>
    <w:rsid w:val="00810CAF"/>
    <w:rsid w:val="00887310"/>
    <w:rsid w:val="008979DE"/>
    <w:rsid w:val="008A10ED"/>
    <w:rsid w:val="008B658E"/>
    <w:rsid w:val="008C41C8"/>
    <w:rsid w:val="008E172D"/>
    <w:rsid w:val="00963540"/>
    <w:rsid w:val="00974FE8"/>
    <w:rsid w:val="009D598C"/>
    <w:rsid w:val="00A01E52"/>
    <w:rsid w:val="00A72F4C"/>
    <w:rsid w:val="00A9568E"/>
    <w:rsid w:val="00AD4BFB"/>
    <w:rsid w:val="00B142E6"/>
    <w:rsid w:val="00B34254"/>
    <w:rsid w:val="00B35CD7"/>
    <w:rsid w:val="00B4057E"/>
    <w:rsid w:val="00B5383A"/>
    <w:rsid w:val="00B96404"/>
    <w:rsid w:val="00C0233F"/>
    <w:rsid w:val="00C1449C"/>
    <w:rsid w:val="00C222D2"/>
    <w:rsid w:val="00C23AF2"/>
    <w:rsid w:val="00C9525D"/>
    <w:rsid w:val="00CE094B"/>
    <w:rsid w:val="00CF502E"/>
    <w:rsid w:val="00D455AF"/>
    <w:rsid w:val="00D54B2F"/>
    <w:rsid w:val="00D75BB7"/>
    <w:rsid w:val="00D90503"/>
    <w:rsid w:val="00DA789E"/>
    <w:rsid w:val="00E22412"/>
    <w:rsid w:val="00E5448A"/>
    <w:rsid w:val="00E73948"/>
    <w:rsid w:val="00ED0C8A"/>
    <w:rsid w:val="00F1047F"/>
    <w:rsid w:val="00F66A7A"/>
    <w:rsid w:val="00FA2785"/>
    <w:rsid w:val="00FD3B86"/>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A5339-7066-494E-816A-DF58493D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line="360" w:lineRule="auto"/>
      <w:jc w:val="both"/>
    </w:pPr>
    <w:rPr>
      <w:rFonts w:ascii="Arial" w:eastAsia="Arial" w:hAnsi="Arial" w:cs="Arial"/>
      <w:color w:val="000000"/>
      <w:sz w:val="22"/>
      <w:szCs w:val="22"/>
      <w:u w:color="000000"/>
      <w:lang w:val="es-ES_tradnl" w:eastAsia="en-US"/>
    </w:rPr>
  </w:style>
  <w:style w:type="paragraph" w:styleId="Ttulo1">
    <w:name w:val="heading 1"/>
    <w:next w:val="Normal"/>
    <w:link w:val="Ttulo1Car"/>
    <w:qFormat/>
    <w:pPr>
      <w:keepNext/>
      <w:spacing w:before="240" w:after="60" w:line="360" w:lineRule="auto"/>
      <w:jc w:val="both"/>
      <w:outlineLvl w:val="0"/>
    </w:pPr>
    <w:rPr>
      <w:rFonts w:ascii="Arial Bold" w:eastAsia="Arial Bold" w:hAnsi="Arial Bold" w:cs="Arial Bold"/>
      <w:color w:val="000000"/>
      <w:kern w:val="32"/>
      <w:sz w:val="28"/>
      <w:szCs w:val="28"/>
      <w:u w:color="000000"/>
      <w:lang w:val="es-ES_tradnl"/>
    </w:rPr>
  </w:style>
  <w:style w:type="paragraph" w:styleId="Ttulo2">
    <w:name w:val="heading 2"/>
    <w:next w:val="Normal"/>
    <w:pPr>
      <w:keepNext/>
      <w:spacing w:before="240" w:after="120"/>
      <w:jc w:val="both"/>
      <w:outlineLvl w:val="1"/>
    </w:pPr>
    <w:rPr>
      <w:rFonts w:ascii="Arial Bold" w:hAnsi="Arial Unicode MS" w:cs="Arial Unicode MS"/>
      <w:smallCaps/>
      <w:color w:val="000000"/>
      <w:sz w:val="24"/>
      <w:szCs w:val="24"/>
      <w:u w:color="000000"/>
      <w:lang w:val="es-ES_tradnl"/>
    </w:rPr>
  </w:style>
  <w:style w:type="paragraph" w:styleId="Ttulo3">
    <w:name w:val="heading 3"/>
    <w:next w:val="Normal"/>
    <w:pPr>
      <w:keepNext/>
      <w:spacing w:before="240" w:after="60" w:line="360" w:lineRule="auto"/>
      <w:jc w:val="both"/>
      <w:outlineLvl w:val="2"/>
    </w:pPr>
    <w:rPr>
      <w:rFonts w:ascii="Arial" w:hAnsi="Arial Unicode MS" w:cs="Arial Unicode MS"/>
      <w:i/>
      <w:i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320"/>
        <w:tab w:val="right" w:pos="8640"/>
      </w:tabs>
      <w:spacing w:after="120" w:line="360" w:lineRule="auto"/>
      <w:jc w:val="both"/>
    </w:pPr>
    <w:rPr>
      <w:rFonts w:ascii="Arial" w:hAnsi="Arial Unicode MS" w:cs="Arial Unicode MS"/>
      <w:color w:val="000000"/>
      <w:sz w:val="22"/>
      <w:szCs w:val="22"/>
      <w:u w:color="000000"/>
      <w:lang w:val="es-ES_tradnl"/>
    </w:rPr>
  </w:style>
  <w:style w:type="paragraph" w:styleId="Piedepgina">
    <w:name w:val="footer"/>
    <w:pPr>
      <w:tabs>
        <w:tab w:val="center" w:pos="4320"/>
        <w:tab w:val="right" w:pos="8640"/>
      </w:tabs>
      <w:spacing w:after="120" w:line="360" w:lineRule="auto"/>
      <w:jc w:val="both"/>
    </w:pPr>
    <w:rPr>
      <w:rFonts w:ascii="Arial" w:eastAsia="Arial" w:hAnsi="Arial" w:cs="Arial"/>
      <w:color w:val="000000"/>
      <w:sz w:val="22"/>
      <w:szCs w:val="22"/>
      <w:u w:color="000000"/>
      <w:lang w:val="es-ES_tradnl"/>
    </w:rPr>
  </w:style>
  <w:style w:type="character" w:styleId="Nmerodepgina">
    <w:name w:val="page number"/>
  </w:style>
  <w:style w:type="character" w:customStyle="1" w:styleId="Hyperlink0">
    <w:name w:val="Hyperlink.0"/>
    <w:basedOn w:val="Nmerodepgina"/>
    <w:rPr>
      <w:rFonts w:ascii="Arial" w:eastAsia="Arial" w:hAnsi="Arial" w:cs="Arial"/>
      <w:color w:val="333333"/>
      <w:sz w:val="16"/>
      <w:szCs w:val="16"/>
      <w:u w:val="single" w:color="333333"/>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uesto">
    <w:name w:val="Title"/>
    <w:next w:val="Normal"/>
    <w:pPr>
      <w:spacing w:after="200"/>
      <w:jc w:val="right"/>
    </w:pPr>
    <w:rPr>
      <w:rFonts w:ascii="Calibri" w:eastAsia="Calibri" w:hAnsi="Calibri" w:cs="Calibri"/>
      <w:smallCaps/>
      <w:color w:val="000000"/>
      <w:sz w:val="48"/>
      <w:szCs w:val="48"/>
      <w:u w:color="000000"/>
      <w:lang w:val="en-US"/>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numbering" w:customStyle="1" w:styleId="Lista21">
    <w:name w:val="Lista 21"/>
    <w:basedOn w:val="Estiloimportado3"/>
    <w:pPr>
      <w:numPr>
        <w:numId w:val="11"/>
      </w:numPr>
    </w:pPr>
  </w:style>
  <w:style w:type="numbering" w:customStyle="1" w:styleId="Estiloimportado3">
    <w:name w:val="Estilo importado 3"/>
  </w:style>
  <w:style w:type="numbering" w:customStyle="1" w:styleId="Lista31">
    <w:name w:val="Lista 31"/>
    <w:basedOn w:val="Estiloimportado4"/>
    <w:pPr>
      <w:numPr>
        <w:numId w:val="14"/>
      </w:numPr>
    </w:pPr>
  </w:style>
  <w:style w:type="numbering" w:customStyle="1" w:styleId="Estiloimportado4">
    <w:name w:val="Estilo importado 4"/>
  </w:style>
  <w:style w:type="paragraph" w:styleId="Textodeglobo">
    <w:name w:val="Balloon Text"/>
    <w:basedOn w:val="Normal"/>
    <w:link w:val="TextodegloboCar"/>
    <w:uiPriority w:val="99"/>
    <w:semiHidden/>
    <w:unhideWhenUsed/>
    <w:rsid w:val="00F66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6A7A"/>
    <w:rPr>
      <w:rFonts w:ascii="Tahoma" w:eastAsia="Arial" w:hAnsi="Tahoma" w:cs="Tahoma"/>
      <w:color w:val="000000"/>
      <w:sz w:val="16"/>
      <w:szCs w:val="16"/>
      <w:u w:color="000000"/>
      <w:lang w:val="es-ES_tradnl" w:eastAsia="en-US"/>
    </w:rPr>
  </w:style>
  <w:style w:type="character" w:customStyle="1" w:styleId="Ttulo1Car">
    <w:name w:val="Título 1 Car"/>
    <w:link w:val="Ttulo1"/>
    <w:rsid w:val="00124197"/>
    <w:rPr>
      <w:rFonts w:ascii="Arial Bold" w:eastAsia="Arial Bold" w:hAnsi="Arial Bold" w:cs="Arial Bold"/>
      <w:color w:val="000000"/>
      <w:kern w:val="32"/>
      <w:sz w:val="28"/>
      <w:szCs w:val="28"/>
      <w:u w:color="000000"/>
      <w:lang w:val="es-ES_tradnl"/>
    </w:rPr>
  </w:style>
  <w:style w:type="paragraph" w:styleId="Prrafodelista">
    <w:name w:val="List Paragraph"/>
    <w:basedOn w:val="Normal"/>
    <w:uiPriority w:val="34"/>
    <w:qFormat/>
    <w:rsid w:val="00736C57"/>
    <w:pPr>
      <w:ind w:left="720"/>
      <w:contextualSpacing/>
    </w:pPr>
  </w:style>
  <w:style w:type="paragraph" w:customStyle="1" w:styleId="Cuerpo">
    <w:name w:val="Cuerpo"/>
    <w:rsid w:val="00E5448A"/>
    <w:pPr>
      <w:spacing w:after="120" w:line="360" w:lineRule="auto"/>
      <w:jc w:val="both"/>
    </w:pPr>
    <w:rPr>
      <w:rFonts w:ascii="Arial" w:eastAsia="Arial" w:hAnsi="Arial" w:cs="Arial"/>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6142">
      <w:bodyDiv w:val="1"/>
      <w:marLeft w:val="0"/>
      <w:marRight w:val="0"/>
      <w:marTop w:val="0"/>
      <w:marBottom w:val="0"/>
      <w:divBdr>
        <w:top w:val="none" w:sz="0" w:space="0" w:color="auto"/>
        <w:left w:val="none" w:sz="0" w:space="0" w:color="auto"/>
        <w:bottom w:val="none" w:sz="0" w:space="0" w:color="auto"/>
        <w:right w:val="none" w:sz="0" w:space="0" w:color="auto"/>
      </w:divBdr>
      <w:divsChild>
        <w:div w:id="1359116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1650">
              <w:marLeft w:val="0"/>
              <w:marRight w:val="0"/>
              <w:marTop w:val="0"/>
              <w:marBottom w:val="0"/>
              <w:divBdr>
                <w:top w:val="none" w:sz="0" w:space="0" w:color="auto"/>
                <w:left w:val="none" w:sz="0" w:space="0" w:color="auto"/>
                <w:bottom w:val="none" w:sz="0" w:space="0" w:color="auto"/>
                <w:right w:val="none" w:sz="0" w:space="0" w:color="auto"/>
              </w:divBdr>
              <w:divsChild>
                <w:div w:id="539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9991">
      <w:bodyDiv w:val="1"/>
      <w:marLeft w:val="0"/>
      <w:marRight w:val="0"/>
      <w:marTop w:val="0"/>
      <w:marBottom w:val="0"/>
      <w:divBdr>
        <w:top w:val="none" w:sz="0" w:space="0" w:color="auto"/>
        <w:left w:val="none" w:sz="0" w:space="0" w:color="auto"/>
        <w:bottom w:val="none" w:sz="0" w:space="0" w:color="auto"/>
        <w:right w:val="none" w:sz="0" w:space="0" w:color="auto"/>
      </w:divBdr>
    </w:div>
    <w:div w:id="1432240910">
      <w:bodyDiv w:val="1"/>
      <w:marLeft w:val="0"/>
      <w:marRight w:val="0"/>
      <w:marTop w:val="0"/>
      <w:marBottom w:val="0"/>
      <w:divBdr>
        <w:top w:val="none" w:sz="0" w:space="0" w:color="auto"/>
        <w:left w:val="none" w:sz="0" w:space="0" w:color="auto"/>
        <w:bottom w:val="none" w:sz="0" w:space="0" w:color="auto"/>
        <w:right w:val="none" w:sz="0" w:space="0" w:color="auto"/>
      </w:divBdr>
      <w:divsChild>
        <w:div w:id="41216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99645">
              <w:marLeft w:val="0"/>
              <w:marRight w:val="0"/>
              <w:marTop w:val="0"/>
              <w:marBottom w:val="0"/>
              <w:divBdr>
                <w:top w:val="none" w:sz="0" w:space="0" w:color="auto"/>
                <w:left w:val="none" w:sz="0" w:space="0" w:color="auto"/>
                <w:bottom w:val="none" w:sz="0" w:space="0" w:color="auto"/>
                <w:right w:val="none" w:sz="0" w:space="0" w:color="auto"/>
              </w:divBdr>
              <w:divsChild>
                <w:div w:id="902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dosjusticia.org.ar" TargetMode="External"/><Relationship Id="rId1" Type="http://schemas.openxmlformats.org/officeDocument/2006/relationships/hyperlink" Target="mailto:info@unidosjustici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500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35AD-850E-4B12-8FCF-F550A744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1068</Words>
  <Characters>5877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M.Flor</dc:creator>
  <cp:lastModifiedBy>PERNAS, Susana Marta</cp:lastModifiedBy>
  <cp:revision>2</cp:revision>
  <cp:lastPrinted>2019-06-28T18:47:00Z</cp:lastPrinted>
  <dcterms:created xsi:type="dcterms:W3CDTF">2019-06-28T18:48:00Z</dcterms:created>
  <dcterms:modified xsi:type="dcterms:W3CDTF">2019-06-28T18:48:00Z</dcterms:modified>
</cp:coreProperties>
</file>